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ATA/1505/2017 vom 21. November 2017</w:t>
      </w:r>
    </w:p>
    <w:p>
      <w:r>
        <w:t>GE Cour de justice, 2017-11-21, FR</w:t>
      </w:r>
    </w:p>
    <w:p>
      <w:r>
        <w:rPr>
          <w:b/>
        </w:rPr>
        <w:t xml:space="preserve">Quelle: </w:t>
      </w:r>
      <w:r>
        <w:t>https://mcp.opencaselaw.ch/entscheid/ge_gerichte_ATA_1505_2017</w:t>
      </w:r>
    </w:p>
    <w:p>
      <w:r>
        <w:t>FR: GE_GERICHTE ATA/1505/2017 du 21 novembre 2017</w:t>
      </w:r>
    </w:p>
    <w:p>
      <w:r>
        <w:t>IT: GE_GERICHTE ATA/1505/2017 del 21 novembre 2017</w:t>
      </w:r>
    </w:p>
    <w:p>
      <w:pPr>
        <w:pStyle w:val="Heading2"/>
      </w:pPr>
      <w:r>
        <w:t>Erwägungen</w:t>
      </w:r>
    </w:p>
    <w:p>
      <w:r>
        <w:rPr>
          <w:b/>
        </w:rPr>
        <w:t>E. 26</w:t>
      </w:r>
    </w:p>
    <w:p>
      <w:r>
        <w:t>septembre 2010 - LOJ - E 2 05 ; art. 62 al. 1 let. a de la loi sur la procédure administrative du 12 septembre 1985 - LPA - E 5 10).</w:t>
      </w:r>
    </w:p>
    <w:p>
      <w:r>
        <w:t>- 4/5 - A/2383/2017 2)</w:t>
      </w:r>
    </w:p>
    <w:p>
      <w:r>
        <w:t>En vertu de l’art. 60 al. 1 let. b LPA, a qualité pour recourir toute personne touchée directement par une décision et qui a un intérêt personnel digne de protection à ce qu’elle soit annulée ou modifiée.</w:t>
      </w:r>
    </w:p>
    <w:p>
      <w:r>
        <w:t>Le recourant doit avoir un intérêt pratique à l’admission du recours, soit que cette admission soit propre à lui procurer un avantage, de nature économique, matérielle ou idéale (ATF 138 II 162 consid. 2.1.2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ATA/686/2014 du 26 août 2014). 3)</w:t>
      </w:r>
    </w:p>
    <w:p>
      <w:r>
        <w:t>En l’espèce, il est établi que, lors du dépôt du recours, M. B______ avait été inscrit au registre des avocats stagiaires, ce qui lui a permis de signer en excusant son maître de stage. Cet élément n’a pas été mentionné dans le recours.</w:t>
      </w:r>
    </w:p>
    <w:p>
      <w:r>
        <w:t>Le recourant n’avait plus d’intérêt pour agir lors du dépôt du recours.</w:t>
      </w:r>
    </w:p>
    <w:p>
      <w:r>
        <w:t>De plus, il ne s’agit pas d’une décision « de brève durée » ou dont les effets sont limités dans le temps, impliquant que le contrôle par l’autorité de recours ne serait jamais réalisable. La situation diffère fondamentalement de la jurisprudence mentionnée par le recourant, laquelle visait une sanction immédiatement exécutoire et dont les effets étaient limités dans le temps (ATA/274/2007 du 5 juin 2007, émanant de l’ancien Tribunal administratif, aujourd’hui appelé chambre administrative de la Cour de justice et non Tribunal administratif de première instance, comme indiqué par erreur par le recourant). 4)</w:t>
      </w:r>
    </w:p>
    <w:p>
      <w:r>
        <w:t>Vu ce qui précède, le recours ne peut qu’être déclaré irrecevable, sans autre instruction (art. 72 LPA).</w:t>
      </w:r>
    </w:p>
    <w:p>
      <w:r>
        <w:t>Un émolument de CHF 500.- déjà versé au titre d’avance de frais sera mis à la charge du recourant (art. 87 al. 1 LPA), et aucune indemnité de procédure ne sera allouée (art. 87 al. 2 LPA). * * * * *</w:t>
      </w:r>
    </w:p>
    <w:p>
      <w:r>
        <w:t>- 5/5 - A/2383/2017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