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ATA/1504/2017 vom 21. November 2017</w:t>
      </w:r>
    </w:p>
    <w:p>
      <w:r>
        <w:t>GE Cour de justice, 2017-11-21, FR</w:t>
      </w:r>
    </w:p>
    <w:p>
      <w:r>
        <w:rPr>
          <w:b/>
        </w:rPr>
        <w:t xml:space="preserve">Quelle: </w:t>
      </w:r>
      <w:r>
        <w:t>https://mcp.opencaselaw.ch/entscheid/ge_gerichte_ATA_1504_2017</w:t>
      </w:r>
    </w:p>
    <w:p>
      <w:r>
        <w:t>FR: GE_GERICHTE ATA/1504/2017 du 21 novembre 2017</w:t>
      </w:r>
    </w:p>
    <w:p>
      <w:r>
        <w:t>IT: GE_GERICHTE ATA/1504/2017 del 21 novembre 2017</w:t>
      </w:r>
    </w:p>
    <w:p>
      <w:pPr>
        <w:pStyle w:val="Heading2"/>
      </w:pPr>
      <w:r>
        <w:t>Erwägungen</w:t>
      </w:r>
    </w:p>
    <w:p>
      <w:r>
        <w:rPr>
          <w:b/>
        </w:rPr>
        <w:t>E. 12</w:t>
      </w:r>
    </w:p>
    <w:p>
      <w:r>
        <w:t>septembre 1985 - LPA - E 5 10). 2) a. Une autorisation préalable est nécessaire pour exploiter une entreprise de sécurité dans les cantons concordataires et engager du personnel à cet effet (art. 7 al. 1 let. a du concordat sur les entreprises de sécurité du 18 octobre 1996 - CES I 2 14). Le canton de Genève a adhéré le 2 décembre 1999 audit concordat (art. 1 de la loi concernant le concordat sur les entreprises de sécurité - L CES - I 2 14.0, entrée en vigueur le 1er mai 2000). L’autorisation d’engager du personnel n’est donnée à une entreprise de sécurité que si les conditions de l’art 9 al. 1 CES sont remplies par l’agent de sécurité ou le responsable de l’entreprise. La durée de validité de cette autorisation est de quatre ans (art. 12A al. 1 CES).</w:t>
      </w:r>
    </w:p>
    <w:p>
      <w:r>
        <w:t>b. Les entreprises de sécurité doivent communiquer immédiatement aux autorités cantonales compétentes toute modification de l’état de leur personnel (art. 11 al. 1 CES). À l’expiration d’une autorisation, celle-ci devient caduque, raison pour laquelle l’entreprise a l’obligation de restituer immédiatement au service les cartes de légitimation (art. 8 al. 1 du règlement concernant le concordat sur les entreprises de sécurité du 19 avril 2000 - RCES - I 2 14.01).</w:t>
      </w:r>
    </w:p>
    <w:p>
      <w:r>
        <w:t>c. La commission concordataire veille à une application uniforme du concordat dans les cantons concordataires ; à cet effet, elle prend les directives nécessaires et donne aux autorités compétentes, sur requête, des instructions dans des cas d'espèce (art. 28 al. 1 CES). La directive générale du 28 mai 2009 concernant le CES (ci-après : la directive) a été édictée en application des normes précitées. Son paragraphe 2.10.4 prévoit que les requêtes de renouvellement</w:t>
      </w:r>
    </w:p>
    <w:p>
      <w:r>
        <w:t>- 4/7 - A/2244/2017 doivent être présentées au moins deux mois avant la date d'échéance des autorisations.</w:t>
      </w:r>
    </w:p>
    <w:p>
      <w:r>
        <w:t>d. Les directives sont des ordonnances administratives dont les destinataires sont ceux qui sont chargés de l'exécution d'une tâche publique, et non les administrés. Elles ne sont pas publiées dans le recueil officiel de la collectivité publique et ne peuvent donc avoir pour objet la situation juridique de tiers (Pierre MOOR/Alexandre FLÜCKIGER/Vincent MARTENET, Droit administratif, vol. I, 3ème éd., 2012, ch. 2.8.3.1). L'ordonnance administrative ne lie pas le juge, mais celui-ci la prendra en considération, surtout si elle concerne des questions d'ordre technique, mais s'en écartera dès qu'il considère que l'interprétation qu'elle donne n'est pas conforme à la loi ou à des principes généraux (ATA/552/2013 du 27 août 2013 consid. 4d).</w:t>
      </w:r>
    </w:p>
    <w:p>
      <w:r>
        <w:t>e. L’autorité qui a accordé l’autorisation à une entreprise de sécurité d’engager du personnel peut prononcer un avertissement lorsque son titulaire ou l’agent concerné contrevient aux dispositions du concordat, de ses directives d’application ou de la législation cantonale applicable (art. 13 al. 2 et 3 let. a CES). Elle peut prononcer, en sus, une amende administrative d’un montant maximum de CHF 60'000.- (art. 13 al. 2 et 3 CES). Si l’infraction a été commise dans la gestion d’une personne morale, les sanctions sont applicables aux personnes qui ont agi en son nom, la personne morale répond solidairement des amendes (art. 4 L CES). 3)</w:t>
      </w:r>
    </w:p>
    <w:p>
      <w:r>
        <w:t>En l’espèce, le recourant admet avoir omis de solliciter le renouvellement de l’autorisation de l’un de ses employés dans le délai prévu par la directive.</w:t>
      </w:r>
    </w:p>
    <w:p>
      <w:r>
        <w:t>Les explications qu’il donne pour justifier de ce retard, soit le fait que l’agent en question n’a pas travaillé dans la période située entre le terme de l’autorisation dont il était bénéficiaire et son renouvellement, comme le fait que son employé ait tardé à remettre au recourant les documents nécessaires, sont inaptes à légitimer ce retard. L’agent, qui était porteur d’une carte de légitimation échue et ne l’avait pas restituée, risquait d’en faire usage. Si la demande de renouvellement ne pouvait réellement pas être faite dans le délai, il appartenait au recourant d’annoncer le départ de l’agent de sécurité concerné, quitte à déposer une nouvelle demande lors de la production desdits documents.</w:t>
      </w:r>
    </w:p>
    <w:p>
      <w:r>
        <w:t>Au vu de cette infraction au concordat, au règlement et à la directive, le prononcé d’un avertissement et d’une amende administrative est fondé. 4)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w:t>
      </w:r>
    </w:p>
    <w:p>
      <w:r>
        <w:t>- 5/7 - A/2244/2017 droit pénal (ATA/61/2014 du 4 février 2014 ; ATA/74/2013 du 6 février 2013 et les arrêts cités).</w:t>
      </w:r>
    </w:p>
    <w:p>
      <w:r>
        <w:t>b.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ATA/61/2014 et ATA/74/2013 précités ; ATA/71/2012 du 31 janvier 2012).</w:t>
      </w:r>
    </w:p>
    <w:p>
      <w:r>
        <w:t>c. Il est ainsi nécessaire que le contrevenant ait commis une faute, fût-ce sous la forme d’une simple négligence (Ulrich HÄFELIN/Georg MÜLLER/ Felix UHLMANN, Allgemeines Verwaltungsrecht, 6ème éd., 2006, n. 1’179). Selon la jurisprudence constante, l’administration doit faire preuve de sévérité afin d’assurer le respect de la loi et jouit d’un large pouvoir d’appréciation pour infliger une amende (ATA/61/2014 et ATA/74/2013 précités et les arrêts cités). La juridiction de céans ne la censure qu’en cas d’excès ou d'abus (ATA/160/2009 du 31 mars 2009). Enfin, l’amende doit respecter le principe de la proportionnalité (art. 5 al. 2 et 36 al. 3 de la Constitution fédérale de la Confédération suisse du 18 avril 1999 - Cst. - RS 101 ; ATA/61/2014 et ATA/74/2013 précités et les arrêts cités).</w:t>
      </w:r>
    </w:p>
    <w:p>
      <w:r>
        <w:t>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ATA/61/2014 et ATA/74/2013 précités). L’autorité doit en outre faire application des règles contenues à l’art. 49 CP, lorsque par un ou plusieurs actes, le même administré encourt plusieurs sanctions, le juge le condamne à la peine de l’infraction la plus grave et l’augmente dans une juste proportion (arrêt du Tribunal fédéral 6B_111/2010 du 29 juin 2010 consid. 2 ; ATA/260/2014 du</w:t>
      </w:r>
    </w:p>
    <w:p>
      <w:r>
        <w:rPr>
          <w:b/>
        </w:rPr>
        <w:t>E. 15</w:t>
      </w:r>
    </w:p>
    <w:p>
      <w:r>
        <w:t>avril 2014 consid. 17).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 ; ATA/135/2011 du 1er mars 2011 consid. 10). 5)</w:t>
      </w:r>
    </w:p>
    <w:p>
      <w:r>
        <w:t>En l’espèce, le recourant avait déjà fait l’objet d’un avertissement moins de deux ans avant les faits qui lui sont aujourd’hui reprochés, sanctionné à l’époque par une amende de CHF 500.-. Dans ces circonstances, l’infliction d’un</w:t>
      </w:r>
    </w:p>
    <w:p>
      <w:r>
        <w:t>- 6/7 - A/2244/2017 avertissement ainsi que d’une amende de CHF 300.- respecte le principe de la proportionnalité. 6)</w:t>
      </w:r>
    </w:p>
    <w:p>
      <w:r>
        <w:t>Au vu de ce qui précède, le recours sera rejeté.</w:t>
      </w:r>
    </w:p>
    <w:p>
      <w:r>
        <w:t>Au vu de l'issue du litige, un émolument de procédure de CHF 250.- sera mis à la charge des recourants, pris conjointement et solidairement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