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ATA/1503/2024 vom 26. Dezember 2024</w:t>
      </w:r>
    </w:p>
    <w:p>
      <w:r>
        <w:t>GE Cour de justice, 2024-12-26, FR</w:t>
      </w:r>
    </w:p>
    <w:p>
      <w:r>
        <w:rPr>
          <w:b/>
        </w:rPr>
        <w:t xml:space="preserve">Quelle: </w:t>
      </w:r>
      <w:r>
        <w:t>https://mcp.opencaselaw.ch/entscheid/ge_gerichte_ATA_1503_2024</w:t>
      </w:r>
    </w:p>
    <w:p>
      <w:r>
        <w:t>FR: GE_GERICHTE ATA/1503/2024 du 26 décembre 2024</w:t>
      </w:r>
    </w:p>
    <w:p>
      <w:r>
        <w:t>IT: GE_GERICHTE ATA/1503/2024 del 26 dicembre 2024</w:t>
      </w:r>
    </w:p>
    <w:p>
      <w:pPr>
        <w:pStyle w:val="Heading2"/>
      </w:pPr>
      <w:r>
        <w:t>Erwägungen</w:t>
      </w:r>
    </w:p>
    <w:p>
      <w:r>
        <w:rPr>
          <w:b/>
        </w:rPr>
        <w:t>E. 24</w:t>
      </w:r>
    </w:p>
    <w:p>
      <w:r>
        <w:t>décembre 2024, le conseil du recourant a indiqué que son mandant aurait été transféré du centre de détention administrative de Frambois à la prison de Sion, puis transféré une nouvelle fois à l'établissement de détention administrative de Favra. Les motifs de ce second transfert résideraient dans le fait que A______ aurait commis trois tentatives de suicide lors de son séjour à la prison de Sion, soit deux par pendaison et une en se frappant la tête avec un objet contondant. Il aurait alors été placé, pour sa protection et dans l'attente de son second transfert, en cellule forte. Ces développements nouveaux confirmaient que la vie du recourant était en danger. À cela s'ajoutait qu'il ne supporterait pas, au vu de son état psychologique, une longue détention, qui plus est dans un établissement de détention dont la chambre de céans avait déjà eu l'occasion de constater les carences. Dès lors que le vol prévu</w:t>
      </w:r>
    </w:p>
    <w:p>
      <w:r>
        <w:t>- 6/15 - A/3983/2024 avait été annulé en raison de la demande d'asile qu'il avait déposée, dont l'examen pourrait durer plusieurs années, le maintien de sa détention ne se justifiait plus. Le motif de détention prévu par l'art. 75 al. 1 let. f LEI n'était en l'espèce pas applicable au vu du caractère non exigible du renvoi.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2. 2.1 Selon l'art. 10 al. 2 de la loi d'application de la loi fédérale sur les étrangers du 16 juin 1988 (LaLEtr - F 2 10), la chambre administrative doit statuer dans les dix jours qui suivent sa saisine. Ayant reçu le recours le 16 décembre 2024 et statuant ce jour, elle respecte ce délai. 2.2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À plusieurs reprises dans ses écritures, le recourant soutient qu'il aurait incombé aux autorités chargées de l'exécution du renvoi, voire au TAPI, de mettre en œuvre une expertise psychiatrique aux fins de déterminer son état psychologique. Il conclut en outre formellement, dans ses conclusions subsidiaires, à ce qu'il soit ordonné au TAPI de procéder à une telle expertise. 3.1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3.2 En matière de contrôle de la détention administrative, les art. 9 al. 2 et 10 al. 2 LaLEtr imposent aux autorités judiciaires de première et de seconde instance de statuer sur la mise en détention dans des délais extrêmement courts, incompatibles avec le recours à des mesures d'instruction nécessitant, à l'instar d'une expertise, un temps relativement long. Pour cette raison déjà, il ne saurait être fait droit aux demandes en ce sens du recourant.</w:t>
      </w:r>
    </w:p>
    <w:p>
      <w:r>
        <w:t>- 7/15 - A/3983/2024 À cela s'ajoute que, dans le cas d'espèce, les éléments figurant au dossier paraissent suffisants pour permettre à la chambre de céans de statuer, au stade de la détention en vue de l'exécution d'une décision de renvoi entrée en force, sur le caractère exigible dudit renvoi. Il y a lieu enfin de rappeler que l’art. 15p de l'Ordonnance sur l'exécution du renvoi et de l'expulsion d'étrangers (OERE – RS 142.281) prévoit que c’est le médecin mandaté par le SEM pour assurer, lors du départ, la surveillance médicale en vue de l’exécution d’un renvoi ou d’une expulsion (soit celui délégué par OSEARA) qui a compétence pour décider si une personne est médicalement apte à être transportée dans le cadre de l’exécution d’un renvoi ou d’une expulsion. Il n'y a ainsi pas lieu de faire droit à cette demande. 4. Le recourant conclut à l’annulation de sa mise en détention administrative. 4.1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4.2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 Une telle mise en détention est de même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t>- 8/15 - A/3983/2024 4.3 En l'occurrence, le recourant fait l'objet de décisions de renvoi et d'expulsions en force. Il a violé une décision d'assignation territoriale au sens de l'art. 74 LEI. Condamné à de multiples reprises pour des infractions contre le patrimoine, l'autorité et la loi sur les stupéfiants, sans domicile fixe et dénué de ressources légitimes, il n'a pas respecté les décisions de renvoi et d'expulsion prononcées à son encontre et, dans le cadre de la présente procédure, a exprimé son refus de rentrer dans son pays d'origine. Comme l'a retenu à juste titre le TAPI, les conditions d'une mise en détention administrative prévues par les art. 76 al. 1 let. b ch. 1 et 75 al. 1 let. b et g sont ainsi réalisées, ce que le recourant ne conteste au demeurant pas. Contrairement à ce qu'il soutient, il faut par ailleurs retenir que le dépôt d'une demande d'asile le 12 décembre 2024, soit huit jours après le prononcé du jugement contesté et un mois environ avant la date prévue pour l'exécution du renvoi alors que de son propre aveu il est arrivé en Suisse en 2017, vise manifestement à empêcher cette exécution. Les conditions de la mise en détention administrative prévue par l'art. 76 al. 1 let. b ch. 1 LEI, en relation avec l'art. 75 al. 1 let. f LEI, sont dès lors elles aussi réalisées. 5. Le recourant fait principalement valoir que l'exécution du renvoi serait inexigible au vu de son état psychologique, d'une part, et de la lésion du genou droit dont il souffre, d'autre part. 5.1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5.2 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5.3 Selon l’art. 80 al. 4 LEI, lorsqu’elle examine la décision de détention, de maintien ou de levée de celle-ci, l’autorité judiciaire tient compte de la situation familiale de la personne détenue et des conditions d’exécution de la détention. 5.4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w:t>
      </w:r>
    </w:p>
    <w:p>
      <w:r>
        <w:t>- 9/15 - A/3983/2024 n'est pas raisonnablement exigible si elle met concrètement en danger la personne étrangère, par exemple en cas de guerre, de guerre civile, de violence généralisée ou de nécessité médicale (art. 83 al. 4 LEI). 5.5 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5.6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w:t>
      </w:r>
    </w:p>
    <w:p>
      <w:r>
        <w:t>- 10/15 - A/3983/2024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 5.7 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 Le TAF admet également que les soins psychiatriques sont généralement accessibles au Maroc, ce dernier connaissant un régime de protection sociale généralisée couvrant tous les salariés contre les risques de maladie ; il a ainsi rejeté</w:t>
      </w:r>
    </w:p>
    <w:p>
      <w:r>
        <w:t>- 11/15 - A/3983/2024 le recours d’un ressortissant marocain diagnostiqué avec un trouble dépressif sévère, des symptômes psychotiques et un risque suicidaire, originaire de la région d’Agadir (arrêt du TAF E-151/2022 du 24 février 2022). 5.8 Il convient en premier lieu de constater en l'espèce que, contrairement à ce qui était le cas dans l'arrêt précité du TAF, aucune pièce du dossier ne permet de retenir chez le recourant l'existence d'un trouble dépressif. Le seul diagnostic psychiatrique médicalement déterminé résulte du rapport médical établi le 12 avril 2021 par le Dr B______ et ne porte que sur un trouble de la personnalité antisocial et impulsif. Il résulte de ce même rapport qu'à trois reprises en 2019 le recourant a tenté d'obtenir des autorités ce qu'il estimait alors lui être dû (une augmentation du dosage de certains médicaments ou une opération du genou) en commettant ou en menaçant de commettre des actes auto-agressifs. Ni le nombre ni le dosage des médicaments prescrits au recourant pour le mois de décembre 2024 ne permettent non plus de conclure à l'existence d'un trouble dépressif d'une certaine gravité : il résulte en effet là encore du rapport du Dr B______ que des médicaments du même type et en quantités comparables étaient déjà prescrits au recourant en 2018 et 2019, sans que celui-ci soit considéré comme dépressif. Le même rapport mentionne par ailleurs une addiction aux benzodiazépines (classe de médicaments à laquelle appartient le valium) et une consommation d'alcool à risque, ce qui peut contribuer à expliquer les dosages actuels. Hormis les épisodes relatés dans le rapport médical du Dr B______ et, dans la mesure où leur réalité serait confirmée, les tentatives de suicide de décembre 2024, le dossier ne contient aucune mention de comportement auto-agressif de la part du recourant. Il résulte certes du courrier que celui-ci a adressé le 28 novembre 2024 à son conseil que la perspective de son retour au Maroc le plonge dans un état de grande détresse, dont il n'y a lieu de mettre en doute ni la sincérité ni la réalité. Cet état ne saurait cependant être assimilé sans autre à un état pathologique durable. Force est de constater sur ce point que l'expression par le recourant, dans sa lettre à son conseil du 28 novembre 2024, d'idées suicidaires, est intervenue dans le contexte de l'accélération de la procédure de renvoi forcé au Maroc, qu'il redoute. Dans ces circonstances, tant cette expression d'intention que son éventuelle mise à exécution par les tentatives de suicide alléguées dans le courrier de son conseil du 23 décembre 2024 ne sont pas incompatibles avec le comportement déjà adopté par le recourant en 2019, visant à infléchir par des actes ou des menaces d'actes auto- agressifs les décisions prises par l'autorité à son égard. Il ne peut donc être retenu que le recourant souffrirait d'une pathologie psychiatrique qui l'exposerait, en cas de retour dans son pays d'origine, à un risque pour sa vie. Dans la mesure où, comme rappelé ci-dessus, des soins psychiatriques sont généralement accessibles au Maroc, il n'y pas lieu non plus de considérer qu'il</w:t>
      </w:r>
    </w:p>
    <w:p>
      <w:r>
        <w:t>- 12/15 - A/3983/2024 courrait un risque réel d'être exposée à un déclin grave, rapide et irréversible de son état de santé entraînant des souffrances intenses, ou à une réduction significative de son espérance de vie. Les mêmes considérations valent a fortiori pour la lésion du genou droit dont souffre le recourant. Celui-ci paraît en effet avoir mené une existence normale depuis quelque six ans avec cette lésion, dont le caractère durablement invalidant n'est pas démontré, et ne prétend à juste titre pas qu'il n'existerait pas de traitement adéquat au Maroc. Sa situation n'y serait pas différente de celle de ses compatriotes souffrant du même type de lésions. L'exécution du renvoi est donc exigible. Il appartiendra cela étant aux thérapeutes du recourant, puis aux autorités chargées du renvoi, de vérifier son aptitude au voyage et de prendre les mesures concrètes utiles pour prévenir la réalisation des intentions suicidaires qu'il a exprimées. Lesdits thérapeutes et autorités devront également veiller à ce que le recourant dispose des médicaments qui lui ont été prescrits pour une période lui permettant de les obtenir du système de santé marocain. Il sera enfin rappelé que, selon la jurisprudence de la chambre de céans (ATA/493/2023 du 11 mai 2023, consid. 5.2 et références citées), les conditions de détention au sein de l'établissement de détention administrative Favra – où le recourant serait, selon son conseil, actuellement détenu – ne sont pas illicites, à tout le moins pour des détentions de courte durée. 6. Il convient encore de vérifier la proportionnalité de la détention ordonnée. 6.1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 6.2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w:t>
      </w:r>
    </w:p>
    <w:p>
      <w:r>
        <w:t>- 13/15 - A/3983/2024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6.3 Selon l'art. 42 LAsi, quiconque dépose une demande d'asile en Suisse peut y séjourner jusqu'à la clôture de la procédure. 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 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 6.4 En l'occurrence, le recourant, qui a démontré à de multiples reprises, que ce soit par la commission répétée d'infractions ou par le non-respect des décisions rendues à son encontre en matière de police des étrangers, faire peu de cas des instructions reçues des autorités, a expressément indiqué qu'il refusait d'être renvoyé dans son pays d'origine. Il existe donc un risque important qu'il ne défère pas à une convocation en vue d'embarquer sur le vol à bord duquel une place sera réservée pour lui, voire qu'il tente de disparaître dans la clandestinité, de telle sorte que sa mise en détention constitue le seul moyen pour assurer sa présence le moment venu. L'intérêt public à l'exécution de son renvoi, au vu notamment des nombreux actes délictuels qu'il a commis en Suisse, l'emporte par ailleurs sur son propre intérêt à demeurer en liberté. Les autorités chargées de l'exécution du renvoi ont fait preuve de célérité et de diligence en réservant un vol avec escorte policière alors que le recourant se trouvait encore détenu en exécution de peine. L'annulation de ce vol en raison de la demande d'asile déposée par le recourant ne leur est pas imputable. La durée de la détention est encore très inférieure à la durée maximum de 18 mois prévue sous conditions par l'art. 78 al. 2 LEI. Elle apparaît nécessaire au vu notamment du contretemps résultant de la nécessité d'annuler le vol prévu pour le 15 janvier 2025. Une décision sur la demande d'asile déposée par le recourant</w:t>
      </w:r>
    </w:p>
    <w:p>
      <w:r>
        <w:t>- 14/15 - A/3983/2024 devrait à cet égard intervenir relativement rapidement, ce qui permettra – si cette décision est négative – aux autorités chargées de l'exécution du renvoi de procéder à une nouvelle réservation et, au besoin, de solliciter la prolongation de la détention administrative. Le principe de la proportionnalité est donc respecté. Entièrement mal fondé, le recours sera rejeté. 7.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