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ATA/149/2013 vom 5. März 2013</w:t>
      </w:r>
    </w:p>
    <w:p>
      <w:r>
        <w:t>GE Cour de justice, 2013-03-05, FR</w:t>
      </w:r>
    </w:p>
    <w:p>
      <w:r>
        <w:rPr>
          <w:b/>
        </w:rPr>
        <w:t xml:space="preserve">Quelle: </w:t>
      </w:r>
      <w:r>
        <w:t>https://mcp.opencaselaw.ch/entscheid/ge_gerichte_ATA_149_2013</w:t>
      </w:r>
    </w:p>
    <w:p>
      <w:r>
        <w:t>FR: GE_GERICHTE ATA/149/2013 du 5 mars 2013</w:t>
      </w:r>
    </w:p>
    <w:p>
      <w:r>
        <w:t>IT: GE_GERICHTE ATA/149/2013 del 5 marzo 2013</w:t>
      </w:r>
    </w:p>
    <w:p>
      <w:pPr>
        <w:pStyle w:val="Heading2"/>
      </w:pPr>
      <w:r>
        <w:t>Erwägungen</w:t>
      </w:r>
    </w:p>
    <w:p>
      <w:r>
        <w:rPr>
          <w:b/>
        </w:rPr>
        <w:t>E. 3</w:t>
      </w:r>
    </w:p>
    <w:p>
      <w:r>
        <w:t>Après le temps d’essai, la Fondation ne peut notifier une résiliation que pour un motif fondé, conformément à la loi B5 05 des employés de l’Etat de Genève. Il y a motif fondé lorsque la continuation des rapports de service n’est plus compatible avec le bon fonctionnement de la Fondation, soit notamment en raison de : a) l’insuffisance des prestations, b) l’inaptitude à remplir les exigences du poste, c) la disparition durable d’un motif d’engagement.</w:t>
      </w:r>
    </w:p>
    <w:p>
      <w:r>
        <w:rPr>
          <w:b/>
        </w:rPr>
        <w:t>E. 4</w:t>
      </w:r>
    </w:p>
    <w:p>
      <w:r>
        <w:t>En cas de désaccord de l’intéressé, celui-ci peut faire recours auprès de l’autorité de recours qui est le Bureau/Conseil de la Fondation. Un ultime recours restant toujours possible auprès du Tribunal administratif.</w:t>
      </w:r>
    </w:p>
    <w:p>
      <w:r>
        <w:t>- 17/25 - A/519/2012</w:t>
      </w:r>
    </w:p>
    <w:p>
      <w:r>
        <w:rPr>
          <w:b/>
        </w:rPr>
        <w:t>E. 5</w:t>
      </w:r>
    </w:p>
    <w:p>
      <w:r>
        <w:t>Lorsque le motif justifié résulte de prestations devenues insuffisantes pour des raisons de santé, l’article 62 du statut est applicable par analogie si l’intéressé à vingt ans d’ancienneté et ne reçoit pas une rente complète de l’assurance-invalidité ou de la CIA.</w:t>
      </w:r>
    </w:p>
    <w:p>
      <w:r>
        <w:rPr>
          <w:b/>
        </w:rPr>
        <w:t>E. 6</w:t>
      </w:r>
    </w:p>
    <w:p>
      <w:r>
        <w:t>Lorsqu’un licenciement est déclaré injustifié par le Tribunal administratif, ce dernier peut proposer la réintégration de l’intéressé et, en cas de refus de la Fondation, condamner celle-ci au paiement d’une indemnité ne dépassant pas dix-huit mois de salaire fixe.</w:t>
      </w:r>
    </w:p>
    <w:p>
      <w:r>
        <w:rPr>
          <w:b/>
        </w:rPr>
        <w:t>E. 7</w:t>
      </w:r>
    </w:p>
    <w:p>
      <w:r>
        <w:t>La procédure prévue aux alinéas 3, 4 et 5 de la lettre a) du présent article ne s’applique pas pendant la période d’essai.</w:t>
      </w:r>
    </w:p>
    <w:p>
      <w:r>
        <w:rPr>
          <w:b/>
        </w:rPr>
        <w:t>E. 8</w:t>
      </w:r>
    </w:p>
    <w:p>
      <w:r>
        <w:t>La résiliation du contrat de travail doit être faite par écrit et doit parvenir à son destinataire au plus tard le dernier jour avant que le délai de congé ne commence à courir.</w:t>
      </w:r>
    </w:p>
    <w:p>
      <w:r>
        <w:rPr>
          <w:b/>
        </w:rPr>
        <w:t>E. 9</w:t>
      </w:r>
    </w:p>
    <w:p>
      <w:r>
        <w:t>Les contrats conclus pour une durée déterminée prennent fin automatiquement sans qu’il soit nécessaire de les résilier au préalable. »</w:t>
      </w:r>
    </w:p>
    <w:p>
      <w:r>
        <w:t>L’art. 66 al. 1 des statuts précise toutefois que le membre du personnel licencié peut recourir directement à la chambre administrative, qui a succédé depuis le 1er janvier 2011 au Tribunal administratif. Selon les art. 56 al. 6 et 66 al. 2 et 3 des statuts, si elle retient que le licenciement est injustifié, respectivement abusif, elle peut proposer la réintégration de l’intéressé et, en cas de refus de la Fondation, condamner celle-ci au paiement d’une indemnité ne dépassant pas dix-huit mois de salaire fixe. 4.</w:t>
      </w:r>
    </w:p>
    <w:p>
      <w:r>
        <w:t>La résiliation des rapports de service est une décision (art. 1 et 4 LPA), prise par une autorité administrative (art. 5 let. f LPA). La LPA est ainsi applicable à la procédure de recours (art. 32 al. 6 et 7 LPA). Tel est le cas de l’art. 41 LPA notamment, selon lequel « les parties ont le droit d’être entendues par l’autorité compétente avant que ne soit prise une décision. Elles ne peuvent prétendre à une audition verbale sauf dispositions légales contraires », sous réserve des exceptions énumérées exhaustivement à l’art. 43 LPA. 5. 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ATA/172/2004 du 2 mars 2004).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w:t>
      </w:r>
    </w:p>
    <w:p>
      <w:r>
        <w:t>- 18/25 - A/519/2012 A. AUER/G. MALINVERNI/ M. HOTTELIER, Droit constitutionnel suisse, Berne 2006, Vol. 2, 2ème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arrêts cités).</w:t>
      </w:r>
    </w:p>
    <w:p>
      <w:r>
        <w:t>b.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p. 494 ; 129 II 497 consid. 2.2 p. 504 ss,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(SJ 2013 I 55, 56, consid. 4.1.2 ; Arrêts du Tribunal fédéral 1C_560/2008 du 6 avril 2009 et 1C_103/2007 du 7 décembre 2007 consid. 5.3). La personne concernée ne doit pas seulement connaître les faits qui lui sont reprochés, mais doit également savoir qu’une décision allant dans une certaine direction est envisagée à son égard (consid. 5.2 non publié aux ATF 136 I 39 de l’Arrêt du Tribunal fédéral 8C_158/2009 du 2 septembre 2009 ; Arrêt du Tribunal fédéral 8C_643/2011 du 21 juin 2011 consid. 4.3, et les arrêts cités).</w:t>
      </w:r>
    </w:p>
    <w:p>
      <w:r>
        <w:t>c.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 TANQUEREL, op. cit., p. 516, n°1554 ss ; P. MOOR/E. POLTIER, op. cit., p. 322 ss). Elle dépend toutefois de</w:t>
      </w:r>
    </w:p>
    <w:p>
      <w:r>
        <w:t>- 19/25 - A/519/2012 la gravité et de l’étendue de l’atteinte portée au droit d’être entendu et doit rester l’exception (ATF 126 I 68 consid. 2 p. 72)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(ATA/623/2012 du 18 septembre 2012 ; ATA/321/2010 du 11 mai 2010 consid. 11). 6.</w:t>
      </w:r>
    </w:p>
    <w:p>
      <w:r>
        <w:t>Une décision entreprise pour violation du droit d’être entendu n’est en principe pas nulle, mais annulable (Arrêt du Tribunal fédéral 2P.207/2001 du</w:t>
      </w:r>
    </w:p>
    <w:p>
      <w:r>
        <w:rPr>
          <w:b/>
        </w:rPr>
        <w:t>E. 12</w:t>
      </w:r>
    </w:p>
    <w:p>
      <w:r>
        <w:t>La recourante allègue ensuite que la décision du 5 décembre 2011 contient des reproches qui ne lui avaient pas été adressés antérieurement et au sujet desquels elle n’avait pas pu se déterminer. La décision de licenciement du 10 octobre 2011 avait été prise en raison de manquements répétés aux devoirs de service, à savoir le prêt de l’abonnement personnel de parking à un tiers, ce qui lui avait valu un avertissement et un blâme et le fait qu’elle ait, malgré cela, tardé à plusieurs reprises à justifier ses absences en violation de l’art. 31 des statuts. Son manque de probité et son comportement étaient stigmatisés. Dans la décision sur opposition du 5 décembre 2011, le Bureau a considéré que le comportement de la recourante dans ces circonstances constituait un motif objectivement fondé de licenciement. Il a toutefois également retenu à ce titre les absences cumulées de l’intéressée depuis son engagement, qui avaient atteint 84 % de son temps de travail, et souligné que le licenciement était la seule mesure envisageable au regard des circonstances « et de l’état de santé fragile de la recourante ».</w:t>
      </w:r>
    </w:p>
    <w:p>
      <w:r>
        <w:t>Statuant sur opposition, le Bureau a confirmé le licenciement non seulement pour les motifs invoqués par la direction générale à l’appui de sa décision du 10 octobre 2011, mais également du fait que la recourante avait été absente 84 % de son temps de travail depuis son engagement et avait une santé fragile. Or, pour respecter le droit d’être entendu de l’intéressée, le Bureau devait l’informer en la convoquant à l’entretien du 5 décembre 2011 que la question de ses absences répétées pour cause de maladie et d’accident, leur durée et leur incidence sur la bonne marche du service, et donc sur son emploi, allaient être abordées. Sauf à ce que cette précision ait figuré dans la convocation, la recourante ne pouvait pas comprendre, vu les motifs sur lesquels se fondait le licenciement du 10 octobre 2011, que son état de santé pourrait aussi constituer une cause de licenciement. Rien ne permet de savoir si cette question a été évoquée lors de l’entretien du 5 décembre 2011 car aucun procès-verbal n’a été tenu.</w:t>
      </w:r>
    </w:p>
    <w:p>
      <w:r>
        <w:t>Lors de l’audience de comparution personnelle devant le juge délégué le</w:t>
      </w:r>
    </w:p>
    <w:p>
      <w:r>
        <w:rPr>
          <w:b/>
        </w:rPr>
        <w:t>E. 16</w:t>
      </w:r>
    </w:p>
    <w:p>
      <w:r>
        <w:t>Au vu de ce qui précède, le recours sera admis. Il ne sera pas perçu d’émolument (art. 87 al. 1 LPA). Une indemnité de procédure de CHF 1'000.- sera allouée à la recourante, à la charge de la Fondation.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