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ATA/149/2011 vom 8. März 2011</w:t>
      </w:r>
    </w:p>
    <w:p>
      <w:r>
        <w:t>GE Cour de justice, 2011-03-08, FR</w:t>
      </w:r>
    </w:p>
    <w:p>
      <w:r>
        <w:rPr>
          <w:b/>
        </w:rPr>
        <w:t xml:space="preserve">Quelle: </w:t>
      </w:r>
      <w:r>
        <w:t>https://mcp.opencaselaw.ch/entscheid/ge_gerichte_ATA_149_2011</w:t>
      </w:r>
    </w:p>
    <w:p>
      <w:r>
        <w:t>FR: GE_GERICHTE ATA/149/2011 du 8 mars 2011</w:t>
      </w:r>
    </w:p>
    <w:p>
      <w:r>
        <w:t>IT: GE_GERICHTE ATA/149/2011 del 8 marzo 2011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de la loi sur la procédure administrative du 12 septembre 1985 - LPA - E 5 10).</w:t>
      </w:r>
    </w:p>
    <w:p>
      <w:r>
        <w:rPr>
          <w:b/>
        </w:rPr>
        <w:t>E. 2</w:t>
      </w:r>
    </w:p>
    <w:p>
      <w:r>
        <w:t>Dans les procédures de recours en matière administrative, la juridiction saisie doit inviter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(ATA/131/2011 du 1er mars 2011).</w:t>
      </w:r>
    </w:p>
    <w:p>
      <w:r>
        <w:rPr>
          <w:b/>
        </w:rPr>
        <w:t>E. 3</w:t>
      </w:r>
    </w:p>
    <w:p>
      <w:r>
        <w:t>a. Les délais fixés par la loi sont des dispositions impératives de droit public. Ils ne sont, en principe, pas susceptibles d’être prolongés (art. 16 al. 1er, 1ère phrase LPA, restitués ou suspendus, si ce n’est par le législateur lui-même (ATA/515/2009 du 13 octobre 2009 consid. 4 ; ATA/266/2009 du 26 mai 2009 consid. 2). Ainsi, celui qui n’agit pas dans le délai prescrit est forclos.</w:t>
      </w:r>
    </w:p>
    <w:p>
      <w:r>
        <w:t>- 4/5 - A/1950/2010</w:t>
      </w:r>
    </w:p>
    <w:p>
      <w:r>
        <w:t>b. 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(ATA/515/2009 du 13 octobre 2009 consid. 5 ; ATA/255/2009 du 19 mai 2009 consid. 2 ; ATA/50/2009 du 27 janvier 2009 consid. 3).</w:t>
      </w:r>
    </w:p>
    <w:p>
      <w:r>
        <w:rPr>
          <w:b/>
        </w:rPr>
        <w:t>E. 4</w:t>
      </w:r>
    </w:p>
    <w:p>
      <w:r>
        <w:t>En l’espèce, le recourant ne conteste pas ne pas avoir versé l’avance de frais dans le délai imparti par la commission. Dans sa lettre du 13 février 2011, le recourant invoque des changements d’adresse qui l’auraient empêché de prendre connaissance des divers courriers qui lui ont été adressés. Or, il résulte du dossier que toute la correspondance échangée avec le recourant, aussi bien par l’AFC-GE, que la commission, que la chambre administrative l’a toujours été à l’adresse 1, rue X______, Y______, soit celle qui figure sur la lettre que le recourant a adressée à la chambre administrative le 13 février 2011. Au demeurant, la consultation du fichier de l’office cantonal de la population atteste que le recourant est domicilié à cette adresse depuis le 1er septembre 1995. Aucun changement d’adresse n’a été annoncé depuis lors.</w:t>
      </w:r>
    </w:p>
    <w:p>
      <w:r>
        <w:t>Pour le surplus, le recourant n’allègue aucun cas de force majeure qui l’aurait empêché de s’acquitter en temps utile du montant réclamé. Aucun élément du dossier ne permet de penser qu’il aurait sollicité l’assistance juridique comme cela lui avait été indiqué dans le courrier de la commission du 7 juin 2010.</w:t>
      </w:r>
    </w:p>
    <w:p>
      <w:r>
        <w:t>En conséquence, le recours ne peut être que rejeté.</w:t>
      </w:r>
    </w:p>
    <w:p>
      <w:r>
        <w:rPr>
          <w:b/>
        </w:rPr>
        <w:t>E. 5</w:t>
      </w:r>
    </w:p>
    <w:p>
      <w:r>
        <w:t>Vu la pratique de la chambre de céans, aucun émolument ne sera perçu pour la présente cause (ATA/105/2011 du 15 février 2011 et les réf.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