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ATA/148/2013 vom 5. März 2013</w:t>
      </w:r>
    </w:p>
    <w:p>
      <w:r>
        <w:t>GE Cour de justice, 2013-03-05, FR</w:t>
      </w:r>
    </w:p>
    <w:p>
      <w:r>
        <w:rPr>
          <w:b/>
        </w:rPr>
        <w:t xml:space="preserve">Quelle: </w:t>
      </w:r>
      <w:r>
        <w:t>https://mcp.opencaselaw.ch/entscheid/ge_gerichte_ATA_148_2013</w:t>
      </w:r>
    </w:p>
    <w:p>
      <w:r>
        <w:t>FR: GE_GERICHTE ATA/148/2013 du 5 mars 2013</w:t>
      </w:r>
    </w:p>
    <w:p>
      <w:r>
        <w:t>IT: GE_GERICHTE ATA/148/2013 del 5 marzo 2013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février 2013 aucun motif de révision au sens de l’art. 80 LPA permettant de retenir que c’est par inadvertance que la chambre administrative a rejeté son recours du 14 septembre 2012, ou que cette dernière a statué dans une des autres circonstances visées par l’art. 80 LPA. 4)</w:t>
      </w:r>
    </w:p>
    <w:p>
      <w:r>
        <w:t>La demande de révision sera donc déclarée irrecevable sans autre instruction (art. 72 LPA). Un émolument de CHF 200.- sera mis à la charge de la demanderesse, qui succombe (art. 87 al. 1 LPA). Vu l'issue de la demande, il ne lui sera pas alloué d'indemnité de procédure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