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ATA/1484/2024 vom 17. Dezember 2024</w:t>
      </w:r>
    </w:p>
    <w:p>
      <w:r>
        <w:t>GE Cour de justice, 2024-12-17, FR</w:t>
      </w:r>
    </w:p>
    <w:p>
      <w:r>
        <w:rPr>
          <w:b/>
        </w:rPr>
        <w:t xml:space="preserve">Quelle: </w:t>
      </w:r>
      <w:r>
        <w:t>https://mcp.opencaselaw.ch/entscheid/ge_gerichte_ATA_1484_2024</w:t>
      </w:r>
    </w:p>
    <w:p>
      <w:r>
        <w:t>FR: GE_GERICHTE ATA/1484/2024 du 17 décembre 2024</w:t>
      </w:r>
    </w:p>
    <w:p>
      <w:r>
        <w:t>IT: GE_GERICHTE ATA/1484/2024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57 LPE ; art. 34 al. 1 de la loi d'application de la loi fédérale sur l'aménagement du territoire du 4 juin 1987 - LaLAT - L 1 30 ; art. 145 al. 2 de la loi sur les constructions et les installations diverses du 14 avril 1988 - LCI - L 5 05).</w:t>
      </w:r>
    </w:p>
    <w:p>
      <w:r>
        <w:rPr>
          <w:b/>
        </w:rPr>
        <w:t>E. 2</w:t>
      </w:r>
    </w:p>
    <w:p>
      <w:r>
        <w:t>Le litige porte sur la conformité au droit de l'autorisation délivrée à l'opérateur consistant en la modification d’une installation pour communication mobile comportant neuf antennes, dont trois adaptative.</w:t>
      </w:r>
    </w:p>
    <w:p>
      <w:r>
        <w:rPr>
          <w:b/>
        </w:rPr>
        <w:t>E. 3</w:t>
      </w:r>
    </w:p>
    <w:p>
      <w:r>
        <w:t>Dans un grief d'ordre formel, la recourante reproche au TAPI d’avoir commis un déni de justice en omettant d’examiner la conformité de l’ORNI à la LPE et au principe de précaution, y compris en lien avec l'application du facteur de correction.</w:t>
      </w:r>
    </w:p>
    <w:p>
      <w:r>
        <w:rPr>
          <w:b/>
        </w:rPr>
        <w:t>E. 3.1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3.2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t>- 6/25 - A/2870/2023</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w:t>
      </w:r>
    </w:p>
    <w:p>
      <w:r>
        <w:rPr>
          <w:b/>
        </w:rPr>
        <w:t>E. 3.4</w:t>
      </w:r>
    </w:p>
    <w:p>
      <w:r>
        <w:t>Le contrôle préjudiciel des ordonnances appartient à toutes les autorités, aussi bien fédérales que cantonales, chargées de les appliquer. Il ne s'agit d'ailleurs pas d'une faculté, mais d'une obligation : l'autorité qui refuse d'examiner la régularité d'une ordonnance, alors même que le recourant a soulevé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à la Constitution ou à la loi (arrêts du Tribunal administratif fédéral A-2852/2018 du 7 février 2019 consid. 2.2.2 et les arrêts cités).</w:t>
      </w:r>
    </w:p>
    <w:p>
      <w:r>
        <w:rPr>
          <w:b/>
        </w:rPr>
        <w:t>E. 3.5</w:t>
      </w:r>
    </w:p>
    <w:p>
      <w:r>
        <w:t>En l'espèce, le TAPI a indiqué que le bien-fondé des valeurs fixées par les dispositions légales et réglementaires applicables avait été confirmé par la jurisprudence fédérale (consid. 25). Par conséquent, contrairement à ce que soutient la recourante, il apparaît qu'il n'a pas omis d’examiner la question de la conformité de l’ORNI à la LPE et au principe de précaution, sous réserve certes de la problématique du facteur de correction KAA. S'agissant de celle-ci, il ne ressort pas du jugement querellé que le TAPI aurait retenu qu'un facteur de correction KAA était appliqué pour les antennes adaptatives concernées. Par conséquent, dans son interprétation de la situation, la conformité de l'application dudit facteur à la LPE et au principe de précaution n'avait pas de pertinence, si bien qu'il pouvait s'abstenir de traiter ce grief. Dès lors, le TAPI n'a pas commis de déni de justice. Cela étant, devant le TAPI, la recourante s'est plainte de la non-conformité du facteur de correction au principe de prévention. Le TAPI n'a toutefois pas expliqué pourquoi il a considéré qu'aucun facteur de correction KAA n'était appliqué pour les</w:t>
      </w:r>
    </w:p>
    <w:p>
      <w:r>
        <w:t>- 7/25 - A/2870/2023 antennes adaptatives concernées, ce qui constitue un défaut de motivation entraînant une violation du droit d'être entendu de la recourante. Cette violation est toutefois sans conséquence. En effet, elle doit être considérée comme ayant été réparée devant la chambre de céans, celle-ci disposant du même pouvoir d’examen – portant sur les faits et le droit, à l’exclusion de l’opportunité (art. 61 al. 1 et 2 LPA) – que le TAPI (ATA/11/2024 du 9 janvier 2024 consid. 2), et la recourante ayant pu faire valoir ses arguments devant la chambre administrative aussi efficacement que devant le TAPI. Par ailleurs, un renvoi à cette juridiction aboutirait à un allongement inutile de la procédure. Par conséquent, le grief sera écarté.</w:t>
      </w:r>
    </w:p>
    <w:p>
      <w:r>
        <w:rPr>
          <w:b/>
        </w:rPr>
        <w:t>E. 4</w:t>
      </w:r>
    </w:p>
    <w:p>
      <w:r>
        <w:t>Dans deux griefs qui se confondent et qui seront donc traités conjointement, la recourante soutient que le département n'a pas pris en compte l'utilisation du facteur de correction en délivrant l'autorisation querellée et que l'ERPn indiquée dans la fiche spécifique au site ne correspond pas à l'ERPmax.</w:t>
      </w:r>
    </w:p>
    <w:p>
      <w:r>
        <w:rPr>
          <w:b/>
        </w:rPr>
        <w:t>E. 4.1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w:t>
      </w:r>
    </w:p>
    <w:p>
      <w:r>
        <w:rPr>
          <w:b/>
        </w:rPr>
        <w:t>E. 4.2</w:t>
      </w:r>
    </w:p>
    <w:p>
      <w:r>
        <w:t>La Confédération surveille l’application de la LPE (art. 38 al. 1 LPE). Elle coordonne les mesures d’exécution des cantons ainsi que celles de ses propres établissements et exploitations (art. 38 al. 2 LPE). Conformément aux art. 38 al. 3 LPE et 12 al. 2 2e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notamment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 Complément du 23 février 2021 à la Recommandation OFEFP 2002 portant sur les antennes adaptatives » (ci-après :</w:t>
      </w:r>
    </w:p>
    <w:p>
      <w:r>
        <w:t>- 8/25 - A/2870/2023 Complément OFEV 2021) et « les explications concernant les antennes adaptatives et leur évaluation l'ORNI » (ci-après : Explications OFEV 2021).</w:t>
      </w:r>
    </w:p>
    <w:p>
      <w:r>
        <w:rPr>
          <w:b/>
        </w:rPr>
        <w:t>E. 4.3</w:t>
      </w:r>
    </w:p>
    <w:p>
      <w:r>
        <w:t>Afin de protéger l'être humain contre le RNI nuisible ou incommodant, le Conseil fédéral, sur la base de la délégation de compétence de l'art. 13 al. 1 LPE, a édicté l’ORNI (art. 1 ORNI). Selon l'art. 2 al. 1 ORNI, celle-ci régit la limitation des émissions des champs électriques et magnétiques générées par des installations stationnaires dans une gamme de fréquence allant de 0 Hz à 300 GHz (rayonnement ; let. a), la détermination et l’évaluation des immissions de rayonnement (let. b) et les exigences posées à la définition des zones à bâtir (let. c).</w:t>
      </w:r>
    </w:p>
    <w:p>
      <w:r>
        <w:rPr>
          <w:b/>
        </w:rPr>
        <w:t>E. 4.4</w:t>
      </w:r>
    </w:p>
    <w:p>
      <w:r>
        <w:t>L’art. 3 ORNI contient les définitions de plusieurs notions. Selon son al. 3,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Aux termes de son al. 6,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(al. 9).</w:t>
      </w:r>
    </w:p>
    <w:p>
      <w:r>
        <w:rPr>
          <w:b/>
        </w:rPr>
        <w:t>E. 4.5</w:t>
      </w:r>
    </w:p>
    <w:p>
      <w:r>
        <w:t>Avant qu’une installation pour laquelle des limitations d’émissions figurant à l’annexe 1 de l'ORNI soit construite, réinstallée sur un autre site, remplacée sur son site ou modifiée, le détenteur doit remettre à l’autorité compétente en matière d’autorisations une fiche de données spécifique au site (art. 11 al.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w:t>
      </w:r>
    </w:p>
    <w:p>
      <w:r>
        <w:t>- 9/25 - A/2870/2023 Cette procédure de contrôle, en particulier au stade du calcul de la prévision, repose sur un élément clé, à savoir la fiche (art. 11 al. 1 ORNI). Les données correspondantes servent de base pour le permis de construire et sont contraignantes pour l'opérateur. Ainsi, une nouvelle installation de radiocommunications mobiles et son exploitation ne peuvent être approuvées que s'il apparaît certain, en fonction d'une prévision mathématique calculée sur la base des données figurant sur la fiche, que les valeurs limites fixées par l'ORNI peuvent probablement être respectées (art. 4 ss ORNI ; arrêt du Tribunal fédéral 1A.264/2000 du 24 septembre 2002 consid. 8.1 non publié aux ATF 128 II 378).</w:t>
      </w:r>
    </w:p>
    <w:p>
      <w:r>
        <w:rPr>
          <w:b/>
        </w:rPr>
        <w:t>E. 4.6</w:t>
      </w:r>
    </w:p>
    <w:p>
      <w:r>
        <w:t>Le ch. 62 de l’annexe 1 ORNI définit plusieurs notions, notamment celle d'antennes émettrices adaptatives, soit les antennes émettrices exploitées de sorte que leur direction d’émission ou leur diagramme d’antenne est adapté automatiquement selon une périodicité rapprochée (al. 6).</w:t>
      </w:r>
    </w:p>
    <w:p>
      <w:r>
        <w:rPr>
          <w:b/>
        </w:rPr>
        <w:t>E. 4.7</w:t>
      </w:r>
    </w:p>
    <w:p>
      <w:r>
        <w:t>Le ch. 63 de l’annexe 1 ORNI traite du mode d’exploitation déterminant. Par mode d’exploitation déterminant, on entend le mode d’exploitation dans lequel un maximum de conversations et de données est transféré, l’émetteur étant au maximum de sa puissance Selon le ch. 63 al. 2 annexe 1 ORNI, en vigueur depuis le 1er janvier 2022,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La limitation automatique de la puissance est une application logicielle implémentée sur l’antenne. Elle détecte en permanence la puissance totale de l’antenne adaptative émise dans un secteur radio. Si, sur de courtes périodes, des pics de puissance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 puisse dépasser la puissance autorisée, la puissance est réduite de telle sorte que la valeur moyenne reste sûrement en dessous du seuil spécifié. (Explications OFEV 2021, chap. 7 p. 21). Les facteurs de correction KAA suivants s’appliquent : Nombre de sub arrays Facteur de correction KAA 64 et plus ≥ 0,10 32 à 63 ≥ 0,13</w:t>
      </w:r>
    </w:p>
    <w:p>
      <w:r>
        <w:t>- 10/25 - A/2870/2023 16 à 31 ≥ 0,20</w:t>
      </w:r>
    </w:p>
    <w:p>
      <w:r>
        <w:rPr>
          <w:b/>
        </w:rPr>
        <w:t>E. 4.7.1</w:t>
      </w:r>
    </w:p>
    <w:p>
      <w:r>
        <w:t>L'application du facteur de correction aux antennes adaptatives autorisées jusqu'à présent selon le « scénario du pire » entraîne des pics de puissance qui peuvent être nettement (jusqu'à dix fois selon le facteur de correction) supérieurs à la puissance d'émission maximale actuelle. La puissance d'émission autorisée ne doit plus être respectée qu'en moyenne sur six minutes. Cela a pour conséquence que l'intensité de champ électrique calculée pour un LUS peut être dépassée à court terme d'un facteur 3 au maximum (ATF 150 II 379 consid. 4.2). Le facteur de correction KAA est appliqué à la puissance d’émission maximale possible pour tenir compte de la variabilité des directions d’émission et des diagrammes d’antenne (Explications OFEV 2021, chap. 7, p. 21). Il dépend du nombre de sous-ensembles d’antennes commandées séparément (sub arrays ; Complément OFEV 2021, chap. 3.2, p. 8). Le facteur de correction ne peut pas être appliqué pour les antennes adaptatives exploitées sans limitation de puissance automatique active, ni pour les antennes non adaptatives (Complément OFEV 2021, chap. 3.3.2, p. 10). Le facteur de correction des antennes adaptatives doit être enregistré dans le système AQ. Il ne peut être appliqué que si le système d’assurance de la qualité et la limitation de puissance automatique ont été vérifiés par un service de contrôle externe indépendant (Complément OFEV 2021, chap. 3.3.2, p. 9).</w:t>
      </w:r>
    </w:p>
    <w:p>
      <w:r>
        <w:rPr>
          <w:b/>
        </w:rPr>
        <w:t>E. 4.7.2</w:t>
      </w:r>
    </w:p>
    <w:p>
      <w:r>
        <w:t>Selon les Explications OFEV 2021 (chap. 7, p. 21), pour les antennes adaptatives, le mode d’exploitation déterminant, dans lequel la VLInst doit être respectée, est déterminé sur la base des deux éléments suivants : la puissance d’émission maximale possible (ERPmax, n) et le facteur de correction KAA. Ainsi, la puissance d’émission déterminante ERPn de l’antenne adaptative s’exprime : ERPn = ERPmax,n x KAA. Elle correspond à la puissance d’émission maximale multipliée par le facteur de correction. Cette ERPn est saisie dans la fiche de données spécifique au site et utilisée en combinaison avec les diagrammes d’antenne enveloppants pour calculer l’intensité du champ électrique dans le but de contrôler le respect de la VLInst dans les LUS (Explications OFEV 2021, chap. 7, p. 21).</w:t>
      </w:r>
    </w:p>
    <w:p>
      <w:r>
        <w:rPr>
          <w:b/>
        </w:rPr>
        <w:t>E. 4.7.3</w:t>
      </w:r>
    </w:p>
    <w:p>
      <w:r>
        <w:t>Depuis la publication du Complément OFEV 2021, des questions ont été soulevées par les services cantonaux du RNI et les opérateurs. Dès lors, l'OFEV a publié le 14 juin 2021 un document intitulé « questions fréquentes sur l’aide à l’exécution pour les antennes adaptatives », complété le 31 août 2021. Selon ce</w:t>
      </w:r>
    </w:p>
    <w:p>
      <w:r>
        <w:t>- 11/25 - A/2870/2023 document (page 5), des questions de compréhension ont été soulevées concernant le champ « mode adaptatif » dans la fiche complémentaire de la fiche de données spécifiques au site. Le champ doit être interprété comme suit : « mode adaptatif avec KAA &lt; 1 ». Une précision correspondante dans la fiche complémentaire 2 apporte de la clarté. Les antennes sont déclarées dans la fiche complémentaire 2 comme suit : - sous le champ « Type de l’antenne » est ajouté un nouveau champ « Mode adaptatif avec KAA &lt; 1 » qu’il faut remplir avec : - « oui » pour les antennes exploitées en mode adaptatif avec une puissance d’émission sur laquelle s’applique un facteur de correction KAA plus petit que 1 selon le tableau 1 de l’aide à l’exécution, ou avec - « non » pour toutes les autres antennes - Si le champ « Mode adaptatif avec KAA &lt; 1 » est désigné par « oui », le nombre de sub arrays doit être indiqué dans un autre champ. (p. 5). En raison de cette définition du mode d’exploitation déterminant, il peut arriver en exploitation réelle que la puissance émettrice déterminante ERPn soit dépassée durant une courte période (au maximum jusqu’à la puissance d’émission ERPmax n). C’est pour cette raison que le facteur de correction peut être appliqué seulement si l’antenne adaptative est dotée d’une limitation automatique de la puissance (Explications OFEV 2021, chap. 7, p. 22).</w:t>
      </w:r>
    </w:p>
    <w:p>
      <w:r>
        <w:rPr>
          <w:b/>
        </w:rPr>
        <w:t>E. 4.7.4</w:t>
      </w:r>
    </w:p>
    <w:p>
      <w:r>
        <w:t>Dans un arrêt de 2024, le Tribunal fédéral a eu à connaître d'un cas dans lequel une autorité, après avoir délivré une autorisation de construire pour une installation d'antennes de téléphonie mobile, a annulé, à la suite d'une demande de reconsidération, la condition qui y avait été fixée, selon laquelle les facteurs de correction des antennes adaptatives de l'installation autorisée ne devaient pas être appliqués. Saisi par des riverains d'un recours contre cette décision en reconsidération, le tribunal cantonal a annulé celle-ci et son jugement a fait l'objet d'un recours de l'opérateur devant le Tribunal fédéral. Celui-ci a considéré qu'il n'était pas établi que l'autorité ayant délivré le permis de construire avait examiné l'application des facteurs de correction aux antennes adaptatives. Au contraire, elle ne les avait mentionnés dans le permis de permis de construire qu'en relation avec la condition qui y avait été fixée, selon laquelle aucun de ces facteurs ne devait être appliqué pour les antennes adaptatives. L'autorité était manifestement partie du principe que la fiche de données spécifiques au site ne prévoyait pas l'application de facteurs de correction. Or, il ne suffisait pas, pour autoriser leur application, que la fiche de données spécifiques au site mentionnât uniquement que, parmi les antennes à autoriser, certaines fonctionnaient de manière adaptative et que le nombre de sub arrays y fût indiqué (en comparaison [« vgl. dagegen »] avec le document intitulé « questions fréquemment posées concernant l'aide à l'exécution pour les antennes adaptatives du 14 juin 2021, y compris les compléments du 31 août 2021 », page 5). L'application des facteurs de correction aux antennes</w:t>
      </w:r>
    </w:p>
    <w:p>
      <w:r>
        <w:t>- 12/25 - A/2870/2023 adaptatives présupposait au contraire que la fiche de données spécifiques au site, sur la base de laquelle le permis de construire devait être délivré, expose l'application concrète des facteurs de correction (arrêt du Tribunal fédéral 1C_310/2024 du 18 octobre 2024 consid. 2.2). Le Tribunal fédéral a ainsi rejeté le recours.</w:t>
      </w:r>
    </w:p>
    <w:p>
      <w:r>
        <w:rPr>
          <w:b/>
        </w:rPr>
        <w:t>E. 4.8</w:t>
      </w:r>
    </w:p>
    <w:p>
      <w:r>
        <w:t>Selon le ch. 64 annexe 1 ORNI, la VLInst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w:t>
      </w:r>
    </w:p>
    <w:p>
      <w:r>
        <w:rPr>
          <w:b/>
        </w:rPr>
        <w:t>E. 4.9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(ATA/1346/2023 du 12 décembre 2023 consid. 4.2 et les références citées). 5. En l’espèce, le projet de construction porte sur la modification d’une installation pour communication mobile pourvue de neuf antennes, fixée sur la superstructure d'un bâtiment. Trois antennes seront utilisées en mode adaptatif, comprenant chacune seize sub arrays. Il s’agit d’un groupe d’antennes (ch. 62 al. 1 annexe 1 ORNI) et d’une installation nouvelle au sens de l’art. 3 al. 2 let. c ORNI. Il n'est pas contesté que le groupe d'antennes est soumis à une émission maximale de 5 V/m (ch. 64 let. c annexe I ORNI), comme le prévoit du reste la fiche de données spécifique au site fournie dans le cadre de l'autorisation querellée. 5.1 La fiche de données spécifique au site mentionne la présence de trois antennes adaptatives (« mode adaptatif : oui ») et le nombre de sub arrays (16) qui y est associé. Elle indique expressément qu'un facteur de correction sera appliqué pour les antennes fonctionnant en mode adaptatif (« mode adaptatif avec KAA &lt; 1 »). Enfin, l'ERPn correspondante (500, 300 et 250) y est reportée. Ces indications permettent l'application d'un facteur de correction puisqu'elles sont conformes aux plus récentes instructions de l'OFEV (voir le document intitulé « questions fréquemment posées concernant l'aide à l'exécution pour les antennes adaptatives du 14 juin 2021, y compris les compléments du 31 août 2021 », page 5) ainsi qu'à la jurisprudence récente du Tribunal fédéral. En effet, en mentionnant l'application du facteur de correction KAA, la fiche de données spécifiques au site, sur la base de laquelle le permis de construire a été délivré, expose l'application concrète des facteurs de correction, étant précisé que la valeur dudit facteur, qui dépend du nombre de sub arrays, ressort du ch. 63 al. 3 ORNI et donc qu'elle n'a pas besoin de figurer dans la fiche dès lors que le nombre de sub arrays y est indiqué.</w:t>
      </w:r>
    </w:p>
    <w:p>
      <w:r>
        <w:t>- 13/25 - A/2870/2023 Dès lors, le département pouvait valablement autoriser l'application du facteur de correction, ce qu'il a fait, et rien ne permet de considérer, contrairement à ce que prétend la recourante, qu'il aurait délivré l'autorisation querellée en partant du principe que les antennes adaptatives ne se verraient pas appliquer de facteur de correction ou qu'il n'aurait pas analysé ses effets sur le respect des valeurs limites. Cette hypothèse est d'autant moins crédible que, dans le cadre de la procédure A/2289/2023 précitée, qui porte sur la même problématique et dont le procès-verbal d'audience a été produit par la recourante, le SABRA a confirmé qu'il était conscient que les antennes en cause étaient appelées à fonctionner en mode adaptatif et donc que la puissance ERPn indiquée dans la fiche était le résultat de l'application d'un facteur de correction, alors même que la fiche fournie par l'opérateur ne contenait aucune mention de l'application d'un facteur de correction. Dès lors, si le SABRA part du principe qu'un facteur de correction sera appliqué même à défaut de mention d'application d'un tel facteur (ce qui ne semble toutefois pas être conforme à la jurisprudence récente du Tribunal fédéral), on doit a fortiori considérer que tel est également le cas lorsque l'application dudit facteur est, comme en l'espèce, expressément mentionnée. Il n'y a d'ailleurs pas lieu de remettre en cause les valeurs produites dans la fiche de données ni les calculs effectués par l'opérateur, dont les résultats sont conformes à la loi, les VLI et la VLInst, en particulier dans les LUS, étant respectées (les LUS présentant tous une intensité de champ électrique inférieure à 5.0 V/m). En effet, le SABRA, dont le préavis est important, puisqu'il est le service spécialisé en matière de protection contre les rayonnements non ionisants (art. 4 al. 1 du règlement sur la protection contre le bruit et les vibrations du 12 février 2003 - RPBV - K 1 70.10), a délivré un préavis favorable, sous conditions, après examen de ladite fiche, après avoir vérifié les calculs effectués par l'opérateur, en étant conscient que le calcul de l'ERPn déterminante incluait un facteur de correction et sur la base de données correspondant à l'exploitation prévue des antennes. La chambre de céans constatera donc que l'autorisation litigieuse prévoit expressément l'application d'un facteur de correction pour les antennes adaptatives nos 7 à 9 et que l'ensemble des valeurs limites sont respectées. 5.2 La recourante ne peut rien tirer de son argument selon lequel l'ERPn indiquée dans la fiche spécifique au site ne correspond pas à l'ERPmax, puisqu'elle est manifestement partie du principe erroné que l'autorité n'avait pris en compte aucun facteur de correction. Il sied également de préciser que pour les antennes adaptatives faisant l'objet d'un facteur de correction KAA, comme celles concernées par le projet litigieux, seule est déterminante l'ERPn, qui correspond à la puissance d’émission maximale (ERPmax) multipliée par le facteur de correction. Ainsi, contrairement à une antenne non adaptive ou pour laquelle aucun facteur de correction n'est appliqué, l'ERPn ne correspond pas à l'ERPmax.</w:t>
      </w:r>
    </w:p>
    <w:p>
      <w:r>
        <w:t>- 14/25 - A/2870/2023 5.3 Enfin, en ce qui concerne la présence d'une limitation automatique de la puissance sur les antennes adaptatives litigieuses, dans le cadre de la procédure connexe A/2289/2023, les représentants du département ont rappelé, lors de leur audition, que le SABRA avait, dans son préavis, posé comme condition, pour les antennes adaptives, l'application d'un système de limitation automatique de la puissance, ce qui ressortait de la deuxième condition, en tant que le système devait être intégré dans le système d'assurance qualité. Cette condition était également rappelé au point n° 5 du préavis, par renvoi aux directives de l'OFEV. Bien que les affirmations des représentants du département ont été formulées dans une autre procédure, celle-ci est connexe à la présente procédure et lesdites affirmations ont la même portée dans le cas d'espèce, les conditions posées par le SABRA (dans ses préavis) dans les deux procédures étant exactement les mêmes. Par conséquent, il y a lieu de s'y référer. Ainsi, bien qu'aucune pièce fournie par l'opérateur ne permette d'attester de la présence d'une limitation automatique de la puissance sur les antennes adaptatives litigieuses, il apparaît que le facteur de correction ne pourra être appliqué que si ce système est installé, les conditions du préavis du SABRA, qui incluent implicitement cet élément, faisant partie intégrante de l'autorisation délivrée. Celle-ci ne consacre dès lors aucune violation du ch. 63 al. 2 annexe 1 ORNI. Par conséquent, le grief sera écarté. 6. La recourante se plaint de la non-conformité de l'ORNI et de l'utilisation du facteur de correction prévue par cette ordonnance au principe de précaution. 6.1 La Confédération et les cantons œuvrent à l'établissement d'un équilibre durable entre la nature, en particulier sa capacité de renouvellement, et son utilisation par l'être humain (art. 73 Cst.). Selon l'art. 74 Cst., la Confédération légifère sur la protection de l'être humain et de son environnement contre les atteintes nuisibles ou incommodantes (al. 1). Elle veille à prévenir les atteintes nuisibles ou incommodantes pour l'être humain et son environnement naturel (al. 2). 6.2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w:t>
      </w:r>
    </w:p>
    <w:p>
      <w:r>
        <w:t>- 15/25 - A/2870/2023 charge actuelle de l’environnement, seront nuisibles ou incommodantes (art. 11 al. 3 LPE). Le Conseil fédéral édicte par voie d’ordonnance des VLI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 6.3 L'art. 1 al. 2 LPE précité concrétise le principe de précaution. L’art. 11 al. 2 et 3 LPE consacre les principes de prévention et de précaution. Si les mesures prises à titre préventif sur la base des critères posés par l’art. 11 al. 2 LPE ne sont pas suffisantes pour éviter des atteintes nuisibles ou incommodantes, des mesures plus sévères devront être prises, sur la base de l’art. 11 al. 3 LPE (Laurent PFEIFFER/Céline MARK, Protection de l'environnement et de la nature/l’ancrage scientifique en matière de protection contre le rayonnement non ionisant, in Environnement et justice, mélanges en l'honneur de la Professeure Anne-Christine FAVRE, p. 332 et la référence citée). Il convient ainsi de distinguer le principe de prévention, voué à l’anticipation de risques avérés dont l’existence est connue et établie, du principe de précaution, une forme particulièrement développée du premier qui oblige la prévention à se projeter au-delà des certitudes et des résultats scientifiquement validés (ibid., p. 331).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La mise en œuvre du principe de précaution se traduira par des mesures souvent provisoires, basées sur des études appelées à être révisées en fonction des nouvelles connaissances scientifiques. À l’inverse, les mesures d’application du principe de prévention seront de nature plus stable, puisqu’elles seront basées sur des expertises et des connaissances établies. Le principe de la prévention se traduira ainsi notamment par des mesures telles que la fixation de seuils de nuisances (Laurent PFEIFFER/Céline MARK, op.cit., p. 331 et les références citées). 6.4 En application du principe de prévention posé à l'art. 11 al. 2 LPE et repris à l'art. 4 al. 1 ORNI, les installations concernées ne doivent pas dépasser les valeurs limites d'émission prescrites par l'annexe 1 ORNI dans les LUS (ch. 15 annexe 1 ORNI).</w:t>
      </w:r>
    </w:p>
    <w:p>
      <w:r>
        <w:t>- 16/25 - A/2870/2023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L’autorité veille au respect des limitations des émissions (art. 12 al. 1 ORNI).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 6.5 Les VLI au sens de l’annexe 2 doivent être respectées partout où des personnes peuvent séjourner (art. 13 al. 1 ORNI). Selon l'art. 14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 L’autorité apprécie si les immissions dépassent une ou plusieurs valeurs limites d’immissions de l’annexe 2 (art. 15 ORNI). 6.6 L’annexe 1 ORNI traite de la limitation préventive des émissions, notamment pour les stations émettrices pour téléphonie mobile et raccordements téléphoniques sans fil (ch. 6). Les installations (nouvelles ou anciennes) ne doivent pas dépasser la VLInst dans les LUS dans le mode d’exploitation déterminant (ch. 65 annexe 1 ORNI). 6.7 Les VLI, – qui sont fondées pour l’essentiel sur les valeurs limites élaborées et recommandées par la Commission internationale pour la protection contre le rayonnement non ionisant (ci-après : ICNIRP), un organisme indépendant fondé en 1992 (ATF 126 II 399 consid. 3b ; arrêts du Tribunal fédéral 1C_573/2023 du 31 octobre 2024 consid. 7.2 ; 1A.280/2004 du 27 octobre 2005 consid. 2.2) –, et les VLInst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ICNIRP (ATA/434/2024 du 26 mars 2024 consid. 5.2 ; Joel DRITTENBASS, Risk- Based Approach als Konkretisierungsvariante des umweltschutzrechtlichen</w:t>
      </w:r>
    </w:p>
    <w:p>
      <w:r>
        <w:t>- 17/25 - A/2870/2023 Vorsorgeprinzips : Angewendet am neuen 5G-Mobilfunkstandard, DEP 2021-2 p. 138). 6.8 Afin de concrétiser le principe de précaution selon les art. 1 al. 2 et 11 al. 2 LPE, le Conseil fédéral a fixé des VLInst qui sont inférieures aux VLI. Les VLInst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En fixant les VLInst, le Conseil fédéral a ménagé une marge de sécurité afin de prévenir les dangers avérés pour la santé (ATF 128 II 378 consid. 6.2.2).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arrêt du Tribunal fédéral 1C_296/2022 du 7 juin 2023 consid. 2.2). 6.8.1 En 2014, l'OFEV a créé le groupe consultatif d'experts en matière de rayonnement non ionisant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(arrêt du Tribunal fédéral 1C_694/2021 du 3 mai 2023 consid. 5.1.2). 6.8.2 Le groupe de travail « Téléphonie mobile et rayonnements »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w:t>
      </w:r>
    </w:p>
    <w:p>
      <w:r>
        <w:t>- 18/25 - A/2870/2023 cellules seraient particulièrement sensibles (arrêt du Tribunal fédéral 1C_694/2021 du 3 mai 2023 consid. 5.1.3). 6.8.3 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VLI,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VLInst de l'ORNI pour les immissions des stations émettrices fixes. L'édition spéciale de la newsletter BERENIS de janvier 2021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 (arrêt du Tribunal fédéral 1C_694/2021 du 3 mai 2023 consid. 5.1.4). Cela étant, en l'état des connaissances, la limitation préventive des émissions par l'application des valeurs limites actuelles respecte le principe de prévention (arrêts du Tribunal fédéral 1C_296/2022 du 7 juin 2023 consid. 2.3 ; 1C_100/2021 du 14 février 2023 consid. 5). 6.8.4 En ce qui concerne la prise en compte des connaissances empiriques, un réseau national de conseil médical en matière de rayonnement non ionisant a notamment été ouvert sur mandat de l'OFEV (OFEV, Protection contre le rayonnement de la téléphonie mobile : ouverture du service de conseil, communiqué de presse du</w:t>
      </w:r>
    </w:p>
    <w:p>
      <w:r>
        <w:rPr>
          <w:b/>
        </w:rPr>
        <w:t>E. 8</w:t>
      </w:r>
    </w:p>
    <w:p>
      <w:r>
        <w:t>Vu l’issue du litige, un émolument de CHF 1'500.- sera mis à la charge de la recourante qui succombe et ne défendait pas sa propre décision (art. 87 al. 1 LPA). Une indemnité de procédure de CHF 1'500.- sera allouée à B______, à la charge de la recourante (art. 87 al. 2 LPA). Aucune indemnité ne sera octroyée à C______ qui n’a pris aucune conclusion.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