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ATA/146/2021 vom 9. Februar 2021</w:t>
      </w:r>
    </w:p>
    <w:p>
      <w:r>
        <w:t>GE Cour de justice, 2021-02-09, FR</w:t>
      </w:r>
    </w:p>
    <w:p>
      <w:r>
        <w:rPr>
          <w:b/>
        </w:rPr>
        <w:t xml:space="preserve">Quelle: </w:t>
      </w:r>
      <w:r>
        <w:t>https://mcp.opencaselaw.ch/entscheid/ge_gerichte_ATA_146_2021</w:t>
      </w:r>
    </w:p>
    <w:p>
      <w:r>
        <w:t>FR: GE_GERICHTE ATA/146/2021 du 9 février 2021</w:t>
      </w:r>
    </w:p>
    <w:p>
      <w:r>
        <w:t>IT: GE_GERICHTE ATA/146/2021 del 9 febbraio 2021</w:t>
      </w:r>
    </w:p>
    <w:p>
      <w:pPr>
        <w:pStyle w:val="Heading2"/>
      </w:pPr>
      <w:r>
        <w:t>Regeste</w:t>
      </w:r>
    </w:p>
    <w:p>
      <w:r>
        <w:t>Résumé: Absence de violation de la garantie de la propriété de la recourante dès lors que le projet de modification de zone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Le refus conservatoire prononcé par l'intimé est fondé dans la mesure où le département n'a pas abandonné le projet de modification des limites de zones concernant la parcelle de la recourante. Par rapport à l'art. 59 al. 4 let. a LCI, la chambre administrative n'est pas compétente pour apprécier la décision du département quant aux circonstances justifiant ou non l'octroi d'une dérogation, cet élément relevant de l'opportunité. En tout état de cause, le projet prévu par le département pourrait être concilié avec les problématiques soulevées par la CMNS dans son préavis. Recours rejeté. Avec l'art. 154 LCI, le législateur n'a ni déterminé le montant des émoluments dans une loi formelle, ni imposé des limites à leur détermination par le Conseil d'État, n'ayant pas déterminé un cadre ou un plafond ni précisé les bases de calcul des émoluments en cause, minima requis par le Tribunal fédéral. Il n'est pas établi que l'art. 257 al. 3 RCI vise ou a pour effet de mettre l'entier des coûts du département à la charge des requérants d'autorisation de construire. Dans ces circonstances, le principe de la couverture des frais ne permet pas d'encadrer de manière suffisante les émoluments en cause. Recours partiellement admis et renvoi du dossier au département pour qu'il calcule et détaille l'émolument dû.</w:t>
      </w:r>
    </w:p>
    <w:p>
      <w:pPr>
        <w:pStyle w:val="Heading2"/>
      </w:pPr>
      <w:r>
        <w:t>Erwägungen</w:t>
      </w:r>
    </w:p>
    <w:p>
      <w:r>
        <w:rPr>
          <w:b/>
        </w:rPr>
        <w:t>E. 4</w:t>
      </w:r>
    </w:p>
    <w:p>
      <w:r>
        <w:t>mars 2018.</w:t>
      </w:r>
    </w:p>
    <w:p>
      <w:r>
        <w:t>a. 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(ATA/934/2019 du 21 mai 2019 consid. 8c ; ATA/537/2017 du 9 mai 2017 consid. 4c ; ATA/956/2014 du 2 décembre 2014 et les références citées).</w:t>
      </w:r>
    </w:p>
    <w:p>
      <w:r>
        <w:t>La loi ne prévoit aucune hiérarchie entre les différents préavis requis. Néanmoins, dans le cadre de l'application de l'art. 106 al. 1 LCI où la commune et la CMNS doivent être consultées, la chambre de céans a toujours jugé qu'en cas de préavis divergents, une prééminence était reconnue à celui de la CMNS puisqu'elle est composée de spécialistes en matière d'architecture, d'urbanisme et</w:t>
      </w:r>
    </w:p>
    <w:p>
      <w:r>
        <w:t>- 19/30 - A/4649/2019 de conservation du patrimoine (arrêt du Tribunal fédéral 1C_582/2012 du 9 juillet 2013 consid. 5.2). Lorsque sa consultation est imposée par la loi, son préavis, émis à l'occasion d'un projet concret, revêt un caractère prépondérant (ATA/670/2012 du 2 octobre 2012 consid. 6).</w:t>
      </w:r>
    </w:p>
    <w:p>
      <w:r>
        <w:t>Selon la jurisprudence cantonale, la chambre de céans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de céans exerce son pouvoir d'examen avec retenue car celui-ci se compose pour partie de personnes possédant des compétences techniques spécifiques (ATA/213/2018 du</w:t>
      </w:r>
    </w:p>
    <w:p>
      <w:r>
        <w:rPr>
          <w:b/>
        </w:rPr>
        <w:t>E. 6</w:t>
      </w:r>
    </w:p>
    <w:p>
      <w:r>
        <w:t>mars 2018 consid. 9 ; ATA/1547/2017 du 28 novembre 2017 consid. 5e et les références citées).</w:t>
      </w:r>
    </w:p>
    <w:p>
      <w:r>
        <w:t>b. En l'occurrence, le préavis de la SPI du 16 avril 2019 relève que le projet visé par la demande d'autorisation préalable de construire est de nature à compromettre les objectifs d'urbanisme visés notamment par la MZ n° 29'851 dont il est question plus haut et qui reste d'actualité. Par ailleurs, force est de constater qu'un nombre de logements nettement plus élevé est prévu que celui avancé par la recourante, soit nonante-quatre à teneur du « formulaire statistique bâtiment (B04) » du 14 février 2019.</w:t>
      </w:r>
    </w:p>
    <w:p>
      <w:r>
        <w:t>Dès lors, le TAPI était en droit de se fonder sur le préavis de la SPI pour retenir que les projets MZ n° 29'851 et PLQ n° 29'845 étaient toujours d'actualité ou à tout le moins n'avaient pas été abandonnés. 11) La recourante considère que le TAPI a violé le principe de la proportionnalité et la garantie de la propriété en confirmant le refus conservatoire opposé à sa demande d'autorisation préalable de construire. En outre, il n'existerait aucun intérêt public dans la mesure où les deux projets refusés en votations référendaires ne sont plus d'actualité.</w:t>
      </w:r>
    </w:p>
    <w:p>
      <w:r>
        <w:t>a. Comme d'autres restrictions à la garantie de la propriété, une décision de refus conservatoire doit reposer sur l'intérêt public (art. 36 al. 2 Cst.) et respecter le principe de la proportionnalité (art. 36 al. 3 Cst). Ce dernier exige notamment qu'une mesure d'effet anticipé négatif ne paralyse pas un projet qui ne compromet pas la planification envisagée (arrêt du Tribunal fédéral 1C_528/2011 du 27 avril 2012 consid. 2.2 concernant une disposition vaudoise similaire à l'art. 13B LaLAT).</w:t>
      </w:r>
    </w:p>
    <w:p>
      <w:r>
        <w:t>- 20/30 - A/4649/2019</w:t>
      </w:r>
    </w:p>
    <w:p>
      <w:r>
        <w:t>b. En l'occurrence, force est de constater que l'atteinte à la garantie de la propriété de la recourante se fonde sur une base légale (art. 13B LaLAT). En outre et comme le relève la jurisprudence de la chambre de céans, la condition de l'intérêt public est réalisée lorsque la décision attaquée se fonde sur l’objectif de densification de la cinquième zone par MZ selon la fiche A03 du PDCn 2030 qui prévoit de classer, notamment, la parcelle litigieuse dans des zones permettant de densifier de manière plus importante et de construire ainsi un nombre de logements plus élevé que celui prévu par le projet refusé. Or, la nécessité de construire un nombre plus important de logements en cas de pénurie dans ce domaine satisfaisait à l'exigence d'un intérêt public (ATA/873/2018 du 28 août 2018 consid. 11b ; ATA/436/2018 du 8 mai 2018 consid. 8f et 8g et la référence citée).</w:t>
      </w:r>
    </w:p>
    <w:p>
      <w:r>
        <w:t>La condition de la proportionnalité est également réalisée dans la mesure où le refus de l’autorisation de construire préalable est apte à produire le résultat escompté, soit éviter que la future densification par MZ prévue par le PDCn 2030 ne soit mise en péril. Ce refus respecte en outre la règle de la nécessité, puisque l'objectif visé ne peut pas être atteint par une mesure moins incisive. Il ressort de plus du paragraphe précédent que la pesée des intérêts en présence respecte le principe de la proportionnalité au sens étroit. La recourante ne démontre pas de manière convaincante que son projet primerait sur les objectifs de densification ressortant du PDCn 2030.</w:t>
      </w:r>
    </w:p>
    <w:p>
      <w:r>
        <w:t>Enfin, force est de constater qu'il existe une limite temporelle fixée à l'horizon 2030, eu égard à la mise en œuvre du PDCn 2030. En outre, la recourante sera en droit de reprendre la disposition de son terrain après l'écoulement du délai de deux ans prévu par l'art. 13B al. 2 LaLAT, étant précisé que dans la mesure où une enquête publique avait déjà été réalisée antérieurement au dépôt de la demande d'autorisation préalable de construire, le délai de douze mois indiqué dans cette disposition ne s'applique pas.</w:t>
      </w:r>
    </w:p>
    <w:p>
      <w:r>
        <w:t>Au vu de ces éléments, le département, et à sa suite le TAPI, étaient en droit de considérer que les conditions d'un refus conservatoire prévues par l'art. 13B LaLAT étaient réunies. 12) La recourante estime que le TAPI n'a pas examiné la question de savoir si le préavis de la CMNS du 20 août 2019 constituait un abus du pouvoir d'appréciation, violant ainsi l'art. 59 al. 4 LCI.</w:t>
      </w:r>
    </w:p>
    <w:p>
      <w:r>
        <w:t>a. L'art. 59 al. 4 LCI règle les rapports des surfaces en zone villas.</w:t>
      </w:r>
    </w:p>
    <w:p>
      <w:r>
        <w:t>b. Dans sa teneur jusqu'au 28 novembre 2020, cet article prévoyait que lorsque les circonstances le justifient et que cette mesure est compatible avec le caractère, l’harmonie et l’aménagement du quartier, le département : peut autoriser, après consultation de la commune et de la commission d’architecture, un projet de</w:t>
      </w:r>
    </w:p>
    <w:p>
      <w:r>
        <w:t>- 21/30 - A/4649/2019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(let. a), peut autoriser exceptionnellement, lorsque la surface totale de la parcelle ou d’un ensemble de parcelles contiguës est supérieure à 5'000 m2, avec l’accord de la commune exprimé sous la forme d’une délibération municipale et après la consultation de la commission d’architecture, un projet de construction en ordre contigu ou sous forme d’habitat groupé dont la surface de plancher habitable n’excède pas 50 % de la surface du terrain, 55 % lorsque la construction est conforme à un standard de haute performance énergétique, 60 % lorsque la construction est conforme à un standard de très haute performance énergétique, reconnue comme telle par le service compétent (let. b).</w:t>
      </w:r>
    </w:p>
    <w:p>
      <w:r>
        <w:t>Depuis le 28 novembre 2020, l'art. 59 al. 4 prévoit que dans les périmètres de densification accrue définis par un plan directeur communal approuvé par le Conseil d’État et lorsque cette mesure est compatible avec le caractère, l’harmonie et l’aménagement du quartier, le département : peut autoriser, après la consultation de la commune et de la commission d’architecture, un projet de construction en ordre contigu ou sous forme d’habitat groupé dont la surface de plancher habitable n’excède pas 44 % de la surface du terrain, 48 % lorsque la construction est conforme à un standard THPE, reconnue comme telle par le service compétent (let. a), peut autoriser exceptionnellement, lorsque la surface totale de la parcelle ou d’un ensemble de parcelles contiguës est supérieure à 5'000 m2, avec l’accord de la commune exprimé sous la forme d’une délibération municipale et après la consultation de la commission d’architecture, un projet de construction en ordre contigu ou sous forme d’habitat groupé dont la surface de plancher habitable n’excède pas 55 % de la surface du terrain, 60 % lorsque la construction est conforme à un standard THPE, reconnue comme telle par le service compétent (let. b).</w:t>
      </w:r>
    </w:p>
    <w:p>
      <w:r>
        <w:t>c. Conformément à l'art. 156 al. 5 LCI, qui prévoit que l'art. 59 al. 4 LCI nouveau s'applique aux demandes d'autorisation déposées après son entrée en vigueur, la présente cause doit s'examiner à l'aune de l'état du droit au moment du prononcé de la décision litigieuse par le département le 12 novembre 2019.</w:t>
      </w:r>
    </w:p>
    <w:p>
      <w:r>
        <w:t>d. Comme vu supra, lorsque les circonstances le justifient et que cette mesure est compatible avec le caractère, l'harmonie et l'aménagement du quartier, le département peut autoriser, à certaines conditions précisées aux let. a et b de l'art. 59 al. 4 LCI, un projet de construction en ordre contigu ou sous forme d'habitat groupé à un taux de densification plus élevé que ceux mentionnés à l'art. 59 al. 1 LCI. L'hypothèse de la let. b de l'art. 59 al. 4 LCI entre en ligne de compte lorsque la surface totale de la parcelle ou d'un ensemble de parcelles</w:t>
      </w:r>
    </w:p>
    <w:p>
      <w:r>
        <w:t>- 22/30 - A/4649/2019 contiguës est supérieure à 5'000 m2. Elle exige, à titre de condition, l'accord de la commune exprimé sous la forme d'une délibération municipale, alors que le cas visé par la let. a de cette disposition requiert la consultation de la commune. Dans les deux cas, la CA doit être consultée.</w:t>
      </w:r>
    </w:p>
    <w:p>
      <w:r>
        <w:t>e. Comme le Tribunal fédéral a déjà eu l'occasion de le préciser, la première condition imposée par l'art. 59 al. 4 let. a LCI, soit le caractère justifié des circonstances, relève de l'opportunité, que la chambre de céans ne peut pas contrôler,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(arrêt du Tribunal fédéral 1P.50/2003 du 27 mars 2003 consid. 2.2 et les références citées ; ATA/1485/2017 du 14 novembre 2017 consid. 8a).</w:t>
      </w:r>
    </w:p>
    <w:p>
      <w:r>
        <w:t>f. En l'occurrence et comme l'a fait avant elle le TAPI, la chambre administrative n'est pas compétente pour apprécier la décision du département quant aux circonstances justifiant ou non l'octroi d'une dérogation au sens de l'art. 59 al. 4 let. a LCI, cet élément relevant de l'opportunité (art. 61 al. 2 LPA).</w:t>
      </w:r>
    </w:p>
    <w:p>
      <w:r>
        <w:t>En tout état de cause, le département a relevé, outre sa volonté de densification plus importante exprimée par le préavis de la SPI du 16 avril 2019 et qui est justifiée et d'ores et déjà suffisante pour motiver son refus d'autorisation, la problématique relevée dans le préavis de la CMNS du 20 juin 2019 portant sur deux bâtiments existants. Cette instance spécialisée a en effet constaté qu'ils présentent des caractéristiques intéressantes qui seraient mises à mal par le projet entraînant leur démolition.</w:t>
      </w:r>
    </w:p>
    <w:p>
      <w:r>
        <w:t>Or, et contrairement à ce que soutient la recourante, les projets prévus sur la parcelle de la recourante par le département ne sont pas antinomiques avec une possible sauvegarde des deux bâtiments en cause. Comme relevé par le département, il conviendra de coordonner le projet avec une demande de démolition qui sera instruite et dont le sort tiendra compte des avis des différentes instances spécialisées dont celui de la CMNS, avec une possible sauvegarde ou intégration desdits bâtiments.</w:t>
      </w:r>
    </w:p>
    <w:p>
      <w:r>
        <w:t>Enfin, la recourante ne saurait être suivie lorsqu'elle soutient avoir été empêchée de déposer une demande de démolition (art. 10 RCI). En effet, rien dans la loi n'empêche un requérant de déposer une demande de démolition parallèlement à une demande d'autorisation préalable ou définitive de construire. Le préavis de la DAC du 21 février 2019 prévoit d'ailleurs le dépôt d'une demande de démolition pour les bâtiments existants sur la parcelle.</w:t>
      </w:r>
    </w:p>
    <w:p>
      <w:r>
        <w:t>- 23/30 - A/4649/2019</w:t>
      </w:r>
    </w:p>
    <w:p>
      <w:r>
        <w:t>Toutefois, compte tenu de l'impossibilité de délivrer l'autorisation préalable de construire en l'espèce, le département n'était pas tenu d'inviter la recourante à en déposer une.</w:t>
      </w:r>
    </w:p>
    <w:p>
      <w:r>
        <w:t>En tous points infondé, le recours portant sur le refus d'autorisation préalable de construire sera rejeté. 13) La recourante soutient que le montant de l'émolument devrait être réduit à CHF 1'250.- au maximum, celui de CHF 83'600.- violant les principes de la couverture des coûts, de l'équivalence et de la proportionnalité. 14) a. Selon l'art. 154 LCI, le département perçoit un émolument pour toutes les autorisations et permis d'habiter ou d'occuper qu'il délivre, ainsi que pour les recherches d'archives ayant trait aux autorisations de construire (al. 1). Ces émoluments sont fixés par le Conseil d'État (al. 2).</w:t>
      </w:r>
    </w:p>
    <w:p>
      <w:r>
        <w:t>La chambre constitutionnelle a retenu que cet article était également applicable en cas de refus d'autorisation décidés en vertu de la LCI et de ses règlements d'application (ACST/12/2017 du 6 juillet 2017 consid. 7d ; ATA/1306/2018 du 5 décembre 2018 consid. 7a).</w:t>
      </w:r>
    </w:p>
    <w:p>
      <w:r>
        <w:t>b. 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w:t>
      </w:r>
    </w:p>
    <w:p>
      <w:r>
        <w:t>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1ère phr.). Pour les décisions sur demandes</w:t>
      </w:r>
    </w:p>
    <w:p>
      <w:r>
        <w:t>- 24/30 - A/4649/2019 d'autorisation de construire, l’émolument est, sous réserve des al. 4 à 12, proportionnel à la surface de plancher utile dont l’édification, le cas échéant la démolition, est projetée ; l’émolument de base s'élève à CHF 50.- par unité de surface de 10 m2 ; il est indivisible (al. 3). Pour les réponses relatives à une demande de renseignement, l'émolument consiste en un forfait de CHF 1'250.- ; il est indivisible (al. 10).</w:t>
      </w:r>
    </w:p>
    <w:p>
      <w:r>
        <w:t>c.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w:t>
      </w:r>
    </w:p>
    <w:p>
      <w:r>
        <w:t>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précité consid. 3a et les références citées).</w:t>
      </w:r>
    </w:p>
    <w:p>
      <w:r>
        <w:t>La perception de contributions publiques est soumise aux principes constitutionnels régissant toute activité étatique, en particulier aux principes de la légalité, de l'intérêt public et de la proportionnalité (art. 5 Cst.), de l'égalité de traitement (art. 8 Cst.), de la bonne foi et de l'interdiction de l'arbitraire (art. 9 Cst.), ainsi que de la non-rétroactivité.</w:t>
      </w:r>
    </w:p>
    <w:p>
      <w:r>
        <w:t>d. Le principe de la légalité en droit fiscal, érigé en droit constitutionnel indépendant à l'art. 127 al. 1 Cst. et qui s'applique à toutes les contributions publiques, tant fédérales que cantonales ou communales, y compris aux contributions de nature causale, prévoit que les principes généraux régissant le régime fiscal, notamment la qualité de contribuable, l'objet de l'impôt et son mode de calcul, doivent être définis par la loi au sens formel. Si cette dernière délègue à l'organe exécutif la compétence d'établir une contribution, la norme de délégation ne peut constituer un blanc-seing en faveur de cette autorité ; elle doit indiquer, au</w:t>
      </w:r>
    </w:p>
    <w:p>
      <w:r>
        <w:t>- 25/30 - A/4649/2019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 ACST/12/2017 du précité consid. 3b et les références citées).</w:t>
      </w:r>
    </w:p>
    <w:p>
      <w:r>
        <w:t>e.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143 I 227 consid. 4.2 ; arrêt du Tribunal fédéral 2C_80/2020 du 15 octobre 2020 consid. 6.2 et les références citées ; ACST/12/2017 précité consid. 3c).</w:t>
      </w:r>
    </w:p>
    <w:p>
      <w:r>
        <w:t>L'assouplissement du principe de la légalité en matière fiscale ne se justifie à travers l'application des principes constitutionnels susmentionnés (couverture des frais et équivalence) que dans la mesure où la réglementation en cause vise à, respectivement a pour effet de mettre la totalité des coûts d'une prestation de l'État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4.2.2).</w:t>
      </w:r>
    </w:p>
    <w:p>
      <w:r>
        <w:t>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w:t>
      </w:r>
    </w:p>
    <w:p>
      <w:r>
        <w:t>- 26/30 - A/4649/2019</w:t>
      </w:r>
    </w:p>
    <w:p>
      <w:r>
        <w:t>f.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du 6 juillet 2017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(ACST/12/2017 précité consid. 3d et les références citées).</w:t>
      </w:r>
    </w:p>
    <w:p>
      <w:r>
        <w:t>g.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(ACST/12/2017 précité consid. 3e et les références citées).</w:t>
      </w:r>
    </w:p>
    <w:p>
      <w:r>
        <w:t>h. Dans sa jurisprudence, la chambre de céans a fait siennes les considérations du TAPI sur l'absence de tout arbitraire quant à la fixation du montant de l'émolument arrêté par le département, relevant également que pour ce motif, sauf à statuer en opportunité ce que ne lui permettait pas l'art. 254 al. 1 RCI cum art. 61</w:t>
      </w:r>
    </w:p>
    <w:p>
      <w:r>
        <w:t>- 27/30 - A/4649/2019 al. 1 et 2 LPA –, elle ne pouvait pas revoir le montant réclamé (ATA/1306/2018 du 5 décembre 2018 consid. 7d).</w:t>
      </w:r>
    </w:p>
    <w:p>
      <w:r>
        <w:t>Dans un jugement récent le TAPI a considéré que l'art. 257 al. 4 RCI, figurant au même titre que l'al. 3 dans l'intitulé « Autorisations de construire et de démolir », violait le principe constitutionnel de la légalité. Le législateur aurait dû déterminer dans une loi formelle le montant des émoluments – autres que ceux de chancellerie – ou imposer des limites à leur détermination par le pouvoir délégataire (JTAPI/1140/2020 du 10 décembre 2020).</w:t>
      </w:r>
    </w:p>
    <w:p>
      <w:r>
        <w:t>Les principes dégagés par ce jugement peuvent être repris dans le cadre de l'analyse de l'art. 257 al. 3 RCI.</w:t>
      </w:r>
    </w:p>
    <w:p>
      <w:r>
        <w:t>i. En l'espèce et comme l'a retenu le TAPI dans ce jugement, le législateur, en lien avec l'art. 154 LCI, n'a pas déterminé un cadre ou un plafond ni précisé les bases de calcul des émoluments en cause, ce qui est le minimum requis par la jurisprudence du Tribunal fédéral.</w:t>
      </w:r>
    </w:p>
    <w:p>
      <w:r>
        <w:t>Une telle manière de légiférer n'est justifiée que lorsque la disposition en cause vise ou a pour effet de mettre l'entier des coûts d'une prestation étatique à la charge de ses bénéficiaires, soit, en d'autres termes, lorsque les émoluments prélevés ne représentent pas uniquement une contribution au coût de fonctionnement global de l'administration en cause, mais qu'ils couvrent ce coût en totalité puisque les principes de l'équivalence et de la couverture des frais permettent alors d'encadrer de manière suffisante les émoluments en cause.</w:t>
      </w:r>
    </w:p>
    <w:p>
      <w:r>
        <w:t>En l'occurrence, les émoluments perçus par le département ne couvrent pas l'entier, mais seulement les trois-quarts, des coûts de fonctionnement de cet office (ACST/12/2017 précité consid. 6c en fait et 9c en droit, pour le fardeau de la preuve en matière de respect du principe de la couverture des frais, l'arrêt du Tribunal fédéral 2C_80/2020 du 15 octobre 2020 consid. 6.5). De plus, il n'est pas établi que l'art. 257 al. 3 RCI vise ou a pour effet de mettre l'entier des coûts du département à la charge des requérants d'autorisation de construire ; au contraire, le requérant d'une autorisation de construire ne paie que moins de la moitié du prix réel de la prestation.</w:t>
      </w:r>
    </w:p>
    <w:p>
      <w:r>
        <w:t>À l'inverse, il n'est pas impossible que, suivant les cas, le produit global des contributions causales dépasse largement l'ensemble des coûts engendrés par l'administration.</w:t>
      </w:r>
    </w:p>
    <w:p>
      <w:r>
        <w:t>Dans ces circonstances, le principe de la couverture des frais ne permet pas d'encadrer de manière suffisante les émoluments en cause, hormis l'émolument d'enregistrement prévu à l'art. 257 al. 1 RCI, lequel constitue un émolument de chancellerie dont la base légale matérielle peut être de rang réglementaire, ainsi</w:t>
      </w:r>
    </w:p>
    <w:p>
      <w:r>
        <w:t>- 28/30 - A/4649/2019 que noté par la chambre constitutionnelle dans son arrêt du 6 juillet 2017 (ACST/12/2017).</w:t>
      </w:r>
    </w:p>
    <w:p>
      <w:r>
        <w:t>Par ailleurs, le système d'échelle ouverte mis en place à l'art. 257 al. 3 RCI, qui fait dépendre le montant de l'émolument de la surface de plancher utile de l’édification projetée visée par la décision du département, n'est pas conforme au respect du principe de l'équivalence, la valeur objective de la prestation administrative déployée ne pouvant en effet être déterminée en fonction de la taille de l'objet concerné, soit en l'espèce la construction de dix ensembles d'habitats groupés THPE et d'un garage commun sur la parcelle de la recourante.</w:t>
      </w:r>
    </w:p>
    <w:p>
      <w:r>
        <w:t>Le Conseil d'État était d'ailleurs conscient du risque que l'émolument requis contrevienne au principe de l'équivalence puisqu'il a prévu, à l'art. 254 al. 1 RCI, qu'il puisse être exceptionnellement réduit lorsqu'il paraît manifestement trop important par rapport à l'objet de la demande d'autorisation de construire et que l'autorité statue, ce faisant, librement. Cette disposition, qui constitue une application du principe de la proportionnalité, permet certes de réduire le montant de l'émolument, mais elle soulève des interrogations quant au respect des principes de l'égalité de traitement, voire de l'interdiction de l'arbitraire, puisqu'en définitive, une libre réduction de l'émolument revient à fixer ce dernier sans le moindre critère objectif. Ainsi, si par exemple l'émolument calculé selon l'art. 254 al. 3 ou 4 RCI s'élève – compte tenu de la surface de la construction ou de l'aménagement – à CHF 500'000.- et qu'il est réduit au montant de CHF 25'000.- en vertu de l'art. 254 al. 1 RCI, on pourrait légitimement s'interroger sur les motifs qui empêcheraient une réduction plus importante pour arrêter un émolument à CHF 10'000.-, ou moins importante pour le fixer à CHF 40'000.-, sans compter qu'alors le principe d'égalité de traitement entre les requérants pourrait être mis à mal.</w:t>
      </w:r>
    </w:p>
    <w:p>
      <w:r>
        <w:t>En outre, le contrôle abstrait effectué par la chambre constitutionnelle dans son arrêt du 6 juillet 2017 ne portait pas sur la disposition précitée, le recours qu'elle avait été amenée à traiter étant en effet dirigé contre les art. 254 al. 1 RCI et 257 al. 1 et al. 10 RCI (ACST/12/2017 précité consid. 1c). De plus, un contrôle abstrait n'a pas pour conséquence qu'il ne puisse pas être requis, par la suite, qu'un contrôle concret soit effectué dans un cas déterminé (ACST/12/2017 précité consid. 7e). La recourante est dès lors en droit de se plaindre de l'émolument litigieux, en requérant un contrôle concret.</w:t>
      </w:r>
    </w:p>
    <w:p>
      <w:r>
        <w:t>j. Au vu de ces éléments, l'émolument de CHF 83'600.-, soit CHF 50.- par unité de surface de 10 m2, calculé sur une surface de plancher utile de 16'718 m2, ne respecte pas le principe de la couverture des frais et contrevient ainsi au principe de la légalité. La question de savoir s'il respecte ou non le principe de l'équivalence peut dès lors rester ouverte.</w:t>
      </w:r>
    </w:p>
    <w:p>
      <w:r>
        <w:t>- 29/30 - A/4649/2019</w:t>
      </w:r>
    </w:p>
    <w:p>
      <w:r>
        <w:t>Le grief sera admis. Le jugement du TAPI et la facture querellée seront partiellement annulés en tant qu'ils portent sur l'émolument de CHF 83'600.-, le bordereau étant confirmé pour le surplus.</w:t>
      </w:r>
    </w:p>
    <w:p>
      <w:r>
        <w:t>Le dossier sera renvoyé au département afin qu'il calcule et détaille l'émolument dû conformément aux principes de la légalité, de couverture des frais et d'équivalence. 15) Vu l'issue du litige, un émolument de CHF 1'000.- sera mis à la charge de la recourante en tant qu'elle succombe dans l'un de ses recours (art. 87 al. 1 LPA). Une indemnité de procédure de CHF 1'000.- sera allouée à la recourante à la charge de l'État de Genève, en lien avec le recours portant sur l'émolument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