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ATA/146/2008 vom 1. April 2008</w:t>
      </w:r>
    </w:p>
    <w:p>
      <w:r>
        <w:t>GE Cour de justice, 2008-04-01, FR</w:t>
      </w:r>
    </w:p>
    <w:p>
      <w:r>
        <w:rPr>
          <w:b/>
        </w:rPr>
        <w:t xml:space="preserve">Quelle: </w:t>
      </w:r>
      <w:r>
        <w:t>https://mcp.opencaselaw.ch/entscheid/ge_gerichte_ATA_146_2008</w:t>
      </w:r>
    </w:p>
    <w:p>
      <w:r>
        <w:t>FR: GE_GERICHTE ATA/146/2008 du 1 avril 2008</w:t>
      </w:r>
    </w:p>
    <w:p>
      <w:r>
        <w:t>IT: GE_GERICHTE ATA/146/2008 del 1 aprile 2008</w:t>
      </w:r>
    </w:p>
    <w:p>
      <w:pPr>
        <w:pStyle w:val="Heading2"/>
      </w:pPr>
      <w:r>
        <w:t>Regeste</w:t>
      </w:r>
    </w:p>
    <w:p>
      <w:r>
        <w:t>Résumé: Recours contre le rejet d'une demande d'autorisation de construire plusieurs villas en zone de bois et forêts. Le plan des zones d'affectation annexé à la LaLAT a été adopté en conformité avec la LAT. Refus de procéder au contrôle préjudiciel de la validité de la zone, les conditions posées par la jurisprudence pour un tel examen n'étant pas remplies. Examen de la conformité du projet à la zone de bois et forêts. Rejet du recours.</w:t>
      </w:r>
    </w:p>
    <w:p>
      <w:pPr>
        <w:pStyle w:val="Heading2"/>
      </w:pPr>
      <w:r>
        <w:t>Erwägungen</w:t>
      </w:r>
    </w:p>
    <w:p>
      <w:r>
        <w:rPr>
          <w:b/>
        </w:rPr>
        <w:t>E. 12</w:t>
      </w:r>
    </w:p>
    <w:p>
      <w:r>
        <w:t>septembre 1985 - LPA - E 5 10). 2)</w:t>
      </w:r>
    </w:p>
    <w:p>
      <w:r>
        <w:t>Pour que la requête en autorisation de construire puisse être délivrée, le projet soumis doit être conforme à l’affectation de la zone (art. 22 al. 2 let. a LAT). Il convient donc en premier lieu d’examiner quel est le régime applicable à la parcelle des recourants. 3) a. Il est établi que la parcelle n° 454 se trouvait en zone de bois et forêts au moins depuis 1961, lors de l’adoption de l’aLCI/1961.</w:t>
      </w:r>
    </w:p>
    <w:p>
      <w:r>
        <w:t>b. Le 1er janvier 1980, la LAT est entrée en vigueur. Selon son article 35 alinéa 1er lettre b, les cantons devaient établir avant le 1er janvier 1988 des plans d’affectation au sens des articles 14 et suivants LAT.</w:t>
      </w:r>
    </w:p>
    <w:p>
      <w:r>
        <w:t>Les plans d’affectation règlent le mode d’utilisation du sol. Ils définissent en premier lieu les zones à bâtir, les zones agricoles et les zones à protéger (art. 14 LAT). Les zones à bâtir comprennent les terrains propres à la construction (art 15 LAT) qui sont déjà largement bâtis (let. a) ou qui seront probablement nécessaires à la construction dans les quinze ans à venir et seront équipés dans ce laps de temps (let. b).</w:t>
      </w:r>
    </w:p>
    <w:p>
      <w:r>
        <w:t>c. Le plan des zones de constructions annexé à la LaLAT, entrée en vigueur le 1er août 1987, est un plan d’affectation au sens de l’article 14 alinéa 1er LAT. C’est même le plan de base destiné à concrétiser les articles 14 et suivants LAT et à mettre en œuvre les principes de la loi fédérale en matière de plans d’affectation (T. TANQUEREL, La participation de la population à l’aménagement du territoire, Genève 1988, p. 244). La jurisprudence cantonale et fédérale a d’ailleurs confirmé à plusieurs reprises que ce plan d’affectation avait été adopté en conformité avec le droit fédéral (ATF 129 II 225 consid. 1.3.3 p. 229 et références citées ; Arrêt du Tribunal fédéral 1A.211/2003 du 29 mars 2004, consid. 2.3, publié in SJ 2005 I p.1 ; ATA/609/2003 du 26 août 2003 consid. 4b ;).</w:t>
      </w:r>
    </w:p>
    <w:p>
      <w:r>
        <w:t>Au vu de ce qui précède, le tribunal de céans retiendra que ce plan a reconduit l’affectation de la parcelle litigieuse en zone de bois et forêts. L’affectation de la parcelle n° 454 en zone de bois et forêts a ainsi été adoptée en conformité à la LAT. 4)</w:t>
      </w:r>
    </w:p>
    <w:p>
      <w:r>
        <w:t>Les recourants prétendent qu’un contrôle préjudiciel de l’affectation de la parcelle doit être effectué dans le cadre de la procédure d’autorisation de construire.</w:t>
      </w:r>
    </w:p>
    <w:p>
      <w:r>
        <w:t>- 9/12 - A/1402/2007 5) a. Le contrôle préjudiciel vise à examiner la conformité d’un acte cantonal au droit supérieur, en vertu du principe de primauté du droit fédéral prévu à l’article 49 alinéa 1er de la Constitution fédérale de la Confédération suisse du 18 avril 1999 (Cst. - RS 101) (A. AUER/ G. MALINVERNI/ M. HOTTELIER, Droit constitutionnel suisse, vol. 1, Berne 2000, p. 673, n. 1904). L’obligation d’exercer ce contrôle s’impose en général aux tribunaux cantonaux, mais pas forcément aux autorités administratives, puisque leurs décisions peuvent être revues par une autorité tenue de procéder au contrôle préjudiciel de la norme litigieuse (Ibid., p. 795, n. 2283).</w:t>
      </w:r>
    </w:p>
    <w:p>
      <w:r>
        <w:t>b. En revanche, le contrôle préjudiciel d’un plan d'affectation dans une procédure relative à un acte d'application est en principe exclu (ATF 120 Ia 227 consid. 2c p. 232 et références citées). Un tel contrôle est pourtant admis, à titre exceptionnel, lorsque les circonstances ou les dispositions légales se sont modifiées, depuis l'adoption du plan, dans une mesure telle que l’intérêt public au maintien des restrictions imposées aux propriétaires concernés pourrait avoir disparu ; cette précision jurisprudentielle correspond à l'obligation de réexamen des plans prévue notamment à l'article 21 alinéa 2 LAT (ATF 121 II 317 consid. 12c p. 346 et références citées).</w:t>
      </w:r>
    </w:p>
    <w:p>
      <w:r>
        <w:t>c. L’autorité compétente pour adopter un plan d’affectation est le Grand Conseil (art. 15 al. 1er LaLAT). En conséquence, si le recours devait être admis après un contrôle préjudiciel du plan, seule la décision du département pourrait être annulée. Le juge devra toutefois tenir compte de ce qu’aurait dû être un plan régulier pour rendre une telle décision (T. TANQUEREL, Commentaire de la loi fédérale sur l’aménagement du territoire, Zürich 1999, ad art. 21 p. 11 n. 27).</w:t>
      </w:r>
    </w:p>
    <w:p>
      <w:r>
        <w:t>Dans la présente cause, même en admettant un changement de circonstances ou de la législation, le contrôle préjudiciel de l’affectation se heurterait à l’intérêt public visé par les normes fédérales de protection de l’environnement, en particulier la protection des habitants contre les nuisances sonores, justifiant ainsi le maintien de la parcelle hors zone à bâtir (cf. art. 1 et 24 al. 1er LPE et 29 al. 1er OPB).</w:t>
      </w:r>
    </w:p>
    <w:p>
      <w:r>
        <w:t>Le contrôle préjudiciel en raison de la modification des circonstances ou des dispositions légales est donc exclu. 6)</w:t>
      </w:r>
    </w:p>
    <w:p>
      <w:r>
        <w:t>L’examen préjudiciel d’un plan d’affectation est aussi exceptionnellement possible si le propriétaire ne pouvait pas se rendre compte, au moment de l’adoption du plan, des limitations qui lui étaient imposées ou si la procédure ne lui a pas permis à cette occasion de faire valoir ses droits (ATF 116 Ia 207 consid. 3b p. 211).</w:t>
      </w:r>
    </w:p>
    <w:p>
      <w:r>
        <w:t>En l’espèce, les recourants affirment qu’ils n’ont eu connaissance du classement de leur parcelle en zone de bois et forêts qu’en 1997 et que les</w:t>
      </w:r>
    </w:p>
    <w:p>
      <w:r>
        <w:t>- 10/12 - A/1402/2007 autorités avaient toujours laissé entendre avant cette date que leur parcelle se trouvait en zone villas. Il ressort pourtant clairement du dossier que les époux Aebischer savaient tout au moins depuis la réception de l’arrêté du Conseil d’Etat du 19 mai 1976, dont la teneur ne laissait planer aucun doute à ce sujet, que leur parcelle était classée en zone de bois et forêts. De plus, lors de l’adoption par le Grand Conseil de la LaLAT le 4 juin 1987, celle-ci a été publiée dans la FAO, de sorte que la possibilité de recourir était ouverte à ce moment-là aux époux Aebischer. Il est insoutenable de considérer qu’un acte normatif ne puisse déployer ses effets qu’après avoir été notifié personnellement à tous les intéressés.</w:t>
      </w:r>
    </w:p>
    <w:p>
      <w:r>
        <w:t>Ce grief sera donc écarté également.</w:t>
      </w:r>
    </w:p>
    <w:p>
      <w:r>
        <w:t>En conclusion, il n’y a pas lieu de procéder au contrôle préjudiciel de l’affectation de la parcelle n° 454. La question de savoir si les valeurs limites d’exposition au bruit prévues par l’OPB sont respectées ou non peut donc rester ouverte.</w:t>
      </w:r>
    </w:p>
    <w:p>
      <w:r>
        <w:t>Reste à examiner si le projet de construction soumis par les recourants est conforme à la zone de bois et forêts. 7)</w:t>
      </w:r>
    </w:p>
    <w:p>
      <w:r>
        <w:t>En zone de bois et forêts, l’article 23 alinéa 2 LaLAT renvoie aux dispositions de la LForêts, dont l’article 14 alinéa 1er LForêts dispose qu’il est interdit d’ériger des constructions et installations non forestières.</w:t>
      </w:r>
    </w:p>
    <w:p>
      <w:r>
        <w:t>En l’espèce, la demande d’autorisation de construire neuf villas d’habitation contiguës est manifestement contraire à l’affectation de la zone. C’est donc à juste titre que l’autorisation de construire a été refusée à cet égard.</w:t>
      </w:r>
    </w:p>
    <w:p>
      <w:r>
        <w:t>De plus, le projet contreviendrait aussi à l’article 11 alinéa 1er LForêts, qui interdit l’implantation de constructions à moins de 30 mètres de la lisière de la forêt. L’exception prévue à l’article 11 alinéa 2 lettre c LForêts ne serait envisageable que si l’on se trouvait en zone à bâtir.</w:t>
      </w:r>
    </w:p>
    <w:p>
      <w:r>
        <w:t>Par conséquent, le projet des recourants n’étant pas conforme à l’affectation de la zone, l’autorisation ne peut être délivrée selon l’article 22 alinéa 2 lettre a LAT. 8)</w:t>
      </w:r>
    </w:p>
    <w:p>
      <w:r>
        <w:t>En tout point mal fondé, le recours sera rejeté et la décision de la commission confirmée.</w:t>
      </w:r>
    </w:p>
    <w:p>
      <w:r>
        <w:t>Un émolument de CHF 1'500.- sera mis à la charge des recourants, pris conjointement et solidairement. Il ne sera pas alloué d'indemnité de procédure (art. 87 LPA).</w:t>
      </w:r>
    </w:p>
    <w:p>
      <w:r>
        <w:t>* * * * *</w:t>
      </w:r>
    </w:p>
    <w:p>
      <w:r>
        <w:t>- 11/12 - A/1402/2007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