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ATA/1461/2017 vom 31. Oktober 2017</w:t>
      </w:r>
    </w:p>
    <w:p>
      <w:r>
        <w:t>GE Cour de justice, 2017-10-31, FR</w:t>
      </w:r>
    </w:p>
    <w:p>
      <w:r>
        <w:rPr>
          <w:b/>
        </w:rPr>
        <w:t xml:space="preserve">Quelle: </w:t>
      </w:r>
      <w:r>
        <w:t>https://mcp.opencaselaw.ch/entscheid/ge_gerichte_ATA_1461_2017</w:t>
      </w:r>
    </w:p>
    <w:p>
      <w:r>
        <w:t>FR: GE_GERICHTE ATA/1461/2017 du 31 octobre 2017</w:t>
      </w:r>
    </w:p>
    <w:p>
      <w:r>
        <w:t>IT: GE_GERICHTE ATA/1461/2017 del 31 ottobre 2017</w:t>
      </w:r>
    </w:p>
    <w:p>
      <w:pPr>
        <w:pStyle w:val="Heading2"/>
      </w:pPr>
      <w:r>
        <w:t>Regeste</w:t>
      </w:r>
    </w:p>
    <w:p>
      <w:r>
        <w:t>Résumé: Confirmation de l'annulation d'une autorisation de construire visant à construire des logements modulaires d'urgence temporaires accueillant 184 personnes migrantes, en raison de sa non-conformité avec le plan localisé de quartier en vigueur.</w:t>
      </w:r>
    </w:p>
    <w:p>
      <w:pPr>
        <w:pStyle w:val="Heading2"/>
      </w:pPr>
      <w:r>
        <w:t>Erwägungen</w:t>
      </w:r>
    </w:p>
    <w:p>
      <w:r>
        <w:rPr>
          <w:b/>
        </w:rPr>
        <w:t>E. 2</w:t>
      </w:r>
    </w:p>
    <w:p>
      <w:r>
        <w:t>juin 2001, suite à l’acceptation du projet de loi (ci-après : PL) n° 7’932 présenté par le Conseil d’État. Le but de ce projet de loi consistait à alléger et à accélérer la procédure d’autorisation de construire portant sur des objets de peu d’importance ou provisoires, en conférant au département la possibilité de traiter seul ce type de procédure. Au regard de la loi alors en vigueur, les objets de peu d’importance ou provisoire devaient faire l’objet d’une approbation préalable du Conseil d’État, alors qu’ils ne justifiaient pas objectivement l’intervention de cette autorité. À titre d’exemples, l’exposé des motifs du Conseil d’État citait les objets suivants : murs, piscines, centrales frigorifiques, couverts à voitures, portiques de lavage, cabines de peinture (Mémorial du Grand Conseil [ci-après : MGC] 1998 49/VII 6450 ss). L’idée était, selon la représentante du département, « d’éviter, dans le cadre de petits projets, comme le fait de repeindre une façade, que le Conseil d’État doive promulguer un arrêté pour que la Police des constructions puisse délivrer une autorisation de construire, procédure qui [était] excessive » et ainsi de « passer de deux à une seule autorisation pour des projets de peu d’importance » (MGC 2001 17/III 2719).</w:t>
      </w:r>
    </w:p>
    <w:p>
      <w:r>
        <w:t>c. S’agissant des effets, il y a tout d’abord lieu de rappeler que le plan localisé de quartier est un plan d’affectation spécial (art. 13 al. 1 let. a LaLAT) qui précise l’aménagement d’un périmètre donné (art. 3 al. 1 à 4 LGZD). Il s’agit d’un plan d’affectation au sens de l’art. 14 LAT et est, de ce fait, soumis aux exigences matérielles et formelles que la LAT prévoit pour ce type de plan (Heinz AEMISEGGER/Samuel KISSLING in Heinz AEMISEGGER/Pierre MOOR/Alexander RUCH/Pierre TSCHANNEN [éd.], Commentaire pratique LAT : Planifier l’affectation, 2016, ad Remarques préliminaires n. 75).</w:t>
      </w:r>
    </w:p>
    <w:p>
      <w:r>
        <w:t>d. Selon l’art. 21 al. 1 LAT, les plans d’affectation ont force obligatoire pour chacun. L’al. 2 de cette norme fédérale dispose que lorsque les circonstances se sont sensiblement modifiées, les plans d’affectation « feront » l’objet des adaptations nécessaires. Cette disposition tend à assurer à la planification une certaine stabilité, sans laquelle les plans d’aménagement ne peuvent remplir leurs fonctions. La stabilité des plans est un aspect du principe, plus général, de la sécurité du droit, qui doit permettre aux propriétaires fonciers, comme aux autorités chargées de mettre en œuvre la planification, de compter sur la pérennité des plans d’affectation (ATF 128 I 190 consid. 4.2 ; arrêt du Tribunal fédéral 1C_176/2016 du 10 mai 2017 consid. 5). Le principe de stabilité des plans s’applique uniquement aux plans d’affectation établis sous l’empire de la LAT en application des objectifs et des principes de cette législation ; ces plans bénéficient alors d’une présomption de validité (ATF 127 I 103 consid. 6b/aa ; arrêt du Tribunal fédéral 1C_361/2011 du 28 juin 2012 consid. 5.1).</w:t>
      </w:r>
    </w:p>
    <w:p>
      <w:r>
        <w:t>Les plans d’affectation doivent être révisés lorsque les circonstances déterminantes se sont modifiées depuis leur adoption (ATF 128 I 190 consid. 4.2) ; il s’agit d’une obligation imposée à l’autorité chargée de la</w:t>
      </w:r>
    </w:p>
    <w:p>
      <w:r>
        <w:t>- 12/20 - A/2578/2016 planification (arrêt du Tribunal fédéral 1C_636/2015 du 26 mai 2016 consid. 2.3.1). Les circonstances à prendre en considération peuvent être de fait ou de droit ; elles sont notamment les suivantes : la durée de validité du plan, le degré de précision et de réalisation du plan, les motifs de modification, l’étendue de la modification requise et l’intérêt public y relatif (ATF 140 II 25 consid. 3.1 ; 128 I 190 consid. 4.2). L’art. 21 al. 2 LAT est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w:t>
      </w:r>
    </w:p>
    <w:p>
      <w:r>
        <w:t>En droit genevois, l’art. 13A al. 1 LaLAT est le pendant de l’art. 21 al. 2 LAT et dispose que, lorsque les circonstances se sont sensiblement modifiées, les plans d’affectation sont réexaminés et, si nécessaire, adaptés. De plus, le PLQ ne comporte pour l’État et les communes aucune obligation d’exécuter les travaux prévus (art. 6 al. 15 LGZD). D’après l’art. 6 al. 16 LGZD, le PLQ fait règle tant qu’il n’a pas été abrogé ou modifié par une décision subséquente du Conseil d’État. La teneur de ces deux dernières dispositions est inchangée depuis le 26 novembre 1987. Quant à l’art. 6 al. 14 LGZD, il prévoit, comme l’art. 6 al. 16 LGZD, que le PLQ fait règle tant qu’il n’a pas été abrogé ou modifié par une décision subséquente du Conseil d’État, mais - à la différence de l’art. 6 al. 16 LGZD - réserve l’art. 13B LaLAT. Selon l’art. 13B al. 1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(phr. 1). Cette règle ne s’applique pas pour l’abrogation ou la modification d’un plan localisé de quartier en vigueur (phr. 2).</w:t>
      </w:r>
    </w:p>
    <w:p>
      <w:r>
        <w:t>e. En vertu de l’art. 22 al. 2 LAT, l’autorisation de construire est délivrée si la construction ou l’installation est « conforme à l’affectation de la zone » (let. a) et si le terrain est équipé (let. b). Le droit fédéral et le droit cantonal peuvent poser d’autres conditions (art. 22 al. 3 LAT).</w:t>
      </w:r>
    </w:p>
    <w:p>
      <w:r>
        <w:t>- 13/20 - A/2578/2016</w:t>
      </w:r>
    </w:p>
    <w:p>
      <w:r>
        <w:t>Conformément à l’art. 3 al. 5 LGZD, les projets de construction établis selon les normes d’une zone de développement doivent être conformes aux plans localisés de quartier adoptés en application de l’art. 2 LGZD. Toutefois, lors du contrôle de conformité des requêtes en autorisation de construire avec le plan localisé de quartier, le département compétent peut admettre, ou même prescrire s’agissant du nombre de places de parcage pour autant que ce nombre ne varie pas de plus de 10 %, que le projet « s’écarte » du plan, pour autant que l’indice d’utilisation du sol et l’indice de densité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LGZD.</w:t>
      </w:r>
    </w:p>
    <w:p>
      <w:r>
        <w:t>Selon l’art. 3 al. 6 LGZD, sont réputés conformes au plan localisé de quartier au sens de l’al. 5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 D’après l’art. 3 al. 7 LGZD, est réputée de peu d’importance et constitutive d'un motif d'intérêt général ou technique au sens de l’al. 5, justifiant que le projet de construction « s'écarte » d'un plan localisé de quartier, la diminution du nombre de places de parcage pour tenir compte d’écarts des projets de construction par rapport au plan ou d’éventuelles modifications du règlement relatif aux places de stationnement sur fonds privés du 16 décembre 2015, en particulier des ratios de stationnement en matière de logements d’utilité publique, survenues postérieurement à l’adoption de ce plan.</w:t>
      </w:r>
    </w:p>
    <w:p>
      <w:r>
        <w:t>f. L’art. 3 al. 5 phr. 2 LGZD a fait l’objet de plusieurs modifications législatives, en particulier la suppression de l’adverbe « légèrement » après le verbe « s’écarte ». Avant cette modification, entrée en vigueur le 29 mai 2004 et découlant du PL n° 8’920, ladite disposition, alors ancrée à l’art. 3 al. 4 LGZD, avait la teneur suivante : « Les projets de construction établis selon les normes d’une zone de développement doivent être conformes aux plans localisés de quartier adoptés en application de l’article 2.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 Il en va de même pour la réalisation des éléments d’équipement de base visés à l’alinéa 2, lettre c ». Cette teneur remontait à l’adoption du - alors - nouvel art. 3 LGZD, entrée en vigueur le 26 novembre 1987.</w:t>
      </w:r>
    </w:p>
    <w:p>
      <w:r>
        <w:t>- 14/20 - A/2578/2016</w:t>
      </w:r>
    </w:p>
    <w:p>
      <w:r>
        <w:t>Lors des travaux législatifs relatifs au PL n° 8’920, face aux craintes de voir le PLQ vidé, en tout ou en partie, de sa substance en dépit de son mode participatif d’adoption, un partisan de la suppression de l’adverbe « légèrement » précisait que celle-ci visait à « permettre des écarts un peu plus grands aux plans de quartier, lorsque l’intérêt général le command[ait] » afin de ne plus devoir « coller » au PLQ (MGC 2003-2004/VII D/31 1832). Pour le conseiller d’État en charge alors du département compétent en matière d’aménagement du territoire, le fait que le mot « légèrement » figure dans la loi ou pas, ne changeait rien. L’absence de cet adverbe ne permettait pas, d’après lui, d’autoriser une modification importante du PLQ au vu du droit fédéral et du processus d’adoption impliquant une enquête publique et une procédure d’opposition, mais il estimait nécessaire d’avoir une certaine souplesse lorsqu’il fallait adapter un plan devenu obsolète, ainsi que de disposer d’une marge de manœuvre par rapport au PLQ qu’il utiliserait « avec une extrême prudence », notamment afin de ne pas perdre la confiance de la population. Il s’agissait, d’après lui, d’une faculté et non d’une obligation (MGC 2003-2004/VII D/31 1834 s).</w:t>
      </w:r>
    </w:p>
    <w:p>
      <w:r>
        <w:t>g. Suite à cette modification législative concernant l’ancien art. 3 al. 4 LGZD qui ne faisait plus mention - comme c’est le cas de l’art. 3 al. 5 LGZD - de l’adverbe « légèrement », l’ancien tribunal administratif - dont la jurisprudence est reprise par la chambre de céans - a jugé que cela ne modifiait pas fondamentalement la marge d’appréciation laissée au département, précisant que l’ancien art. 3 al. 4 LGZD, dans sa teneur entrée en vigueur le 29 mai 2004, devait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pas respectée. En conséquence, seules des modifications peu importantes, remplissant en outre les autres conditions prévues dans ladite teneur de l’ancien art. 3 al. 4 LGZD, pouvaient être autorisées, ce qui correspondait d’ailleurs à la volonté du législateur (ATA/315/2015 du 31 mars 2015 consid. 5d ; ATA/39/2014 du 21 janvier 2014 consid. 9a ; ATA/463/2011 du 26 juillet 2011 consid. 6b ; ATA/505/2007 du 9 octobre 2007 consid. 7c).</w:t>
      </w:r>
    </w:p>
    <w:p>
      <w:r>
        <w:t>Selon la jurisprudence antérieure au 29 mai 2004,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(ATA/559/2000 du 14 septembre 2000). L’agrandissement de 159 m2 de la surface d’un attique a été considéré comme une dérogation mineure (ATA/298/2001 du 8 mai 2001).</w:t>
      </w:r>
    </w:p>
    <w:p>
      <w:r>
        <w:t>- 15/20 - A/2578/2016</w:t>
      </w:r>
    </w:p>
    <w:p>
      <w:r>
        <w:t>Sous l’empire de l’art. 3 al. 5 LGZD, la juridiction de céans a considéré que constituaient des modifications mineures, notamment, le changement d’implantation d’un parking souterrain, ainsi que le changement d’accès en résultant (ATA/463/2011 du 26 juillet 2011), la création d’un étage supplémentaire comportant deux logements et induisant un dépassement du gabarit prévu par le PLQ de 2,70 dans le cadre de la réalisation d’une construction à haut standard énergétique (ATA/583/2010 du 31 août 2010), un écart de surface brute de plancher (ci-après : SBP) de 3 % qualifié de peu important compte tenu de la SBP totale du projet en cause (ATA/505/2007 du 9 octobre 2007), ce dernier arrêt soulignant que la mesure technique des SBP revêtait un caractère imprécis, l’expérience ayant montré que des différences de quelques pour-cent n’étaient pas inhabituelles en raison de la complexité des mesures. Un projet comportant un attique de 51,50 m2 affecté à une cuisine, un séjour et une véranda non chauffée et n’excédant pas les 10 % de SBP supplémentaires autorisés en application du bonus Minergie a été considéré comme une modification mineure du PLQ (ATA/55/2012 du 24 janvier 2012).</w:t>
      </w:r>
    </w:p>
    <w:p>
      <w:r>
        <w:t>Dans un arrêt plus récent (ATA/315/2015 du 31 mars 2015), confirmé par le Tribunal fédéral (arrêt 1C_249/2015 du 15 avril 2016), la chambre administrative a considéré comme mineures les modifications apportées au PLQ et admises par le département, à savoir 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w:t>
      </w:r>
    </w:p>
    <w:p>
      <w:r>
        <w:t>h. Quant à la procédure d’adoption prévue in casu à l’art. 6 LGZD, il y a lieu de rappeler qu’en tant que plan d’affectation, le PLQ est soumis à l’art. 4 LAT. En vertu de l’art. 4 al. 1 LAT, les autorités chargées de l’aménagement du territoire renseignent la population sur les plans dont la LAT prévoit l’établissement, sur les objectifs qu’ils visent et sur le déroulement de la procédure. Elles veillent à ce que la population puisse participer de manière adéquate à l’établissement des plans (art. 4 al. 2 LAT). La participation au sens de l’art. 4 LAT exerce une influence politique et vise à permettre une large pesée des intérêts avant l’établissement du plan, ce qui la distinguent des instruments de protection juridique dont l’objectif est d’assurer la légalité des actes étatiques d’organisation du territoire (Rudolf MUGGLI in Heinz AEMISEGGER/Alfred KUTTLER/Pierre MOOR/Alexander RUCH [éd.], Commentaire de la LAT, 1999, ad art. 4 n. 3 ss et 24 ss).</w:t>
      </w:r>
    </w:p>
    <w:p>
      <w:r>
        <w:t>Selon l’art. 6 LGZD, le PLQ est soumis à une enquête publique (al. 1), au cours de laquelle chacun peut transmettre ses observations (al. 3), puis au préavis de la commune (al. 4). L’enquête publique est facultative en cas d’accord des propriétaires concernés et lorsque le périmètre du projet du PLQ est compris dans celui d’un plan directeur de quartier en force depuis moins de dix ans (art. 6</w:t>
      </w:r>
    </w:p>
    <w:p>
      <w:r>
        <w:t>- 16/20 - A/2578/2016 al. 5 LGZD). En cas de modifications « essentielles » du projet de PLQ, « soit celles qui ont pour conséquence un changement fondamental de ses caractéristiques », une nouvelle procédure doit être engagée (art. 6 al. 7 LGZD). Il y a, ensuite, avant l’adoption du PLQ par le Conseil d’État (art. 6 al. 10 LGZD), une procédure d’opposition auprès de ce dernier (art. 6 al. 9 LGZD). 4)</w:t>
      </w:r>
    </w:p>
    <w:p>
      <w:r>
        <w:t>En l’espèce, il y a tout d’abord lieu de constater que, contrairement à l’avis du département, le projet litigieux n’est pas, comme l’a relevé le TAPI, conforme au PLQ existant et actuellement toujours en vigueur, malgré son ancienneté et les nouvelles options spatiales découlant de la révision du plan directeur communal relatives à Morillon-Parc, selon lesquelles ce PLQ ne serait plus en adéquation avec la volonté communale de ne pas bâtir les espaces ouverts de la commune. En effet, indépendamment de la question de savoir si les constructions projetées peuvent être qualifiées d’équipement public comme le suggère le département, celles-ci ne correspondent, de toute évidence, pas au seul bâtiment qualifié d’équipement public par ledit PLQ, à savoir la construction d’une salle polyvalente en sous-sol, ni a fortiori aux autres bâtiments prévus par ce PLQ qui sont destinés à des activités commerciales, artisanales et administratives. L’autorisation litigieuse n’est, pour ce motif, pas conforme à l’affectation de la zone déterminée par le PLQ n° 28'523, toujours en vigueur. Au vu de l’ampleur des divergences entre ce dernier et le projet litigieux, celles-ci ne peuvent constituer, comme l’a à juste titre estimé le TAPI, des modifications mineures au sens de la jurisprudence susmentionnée relative à l’art. 3 al. 5 phr. 2 LGZD, dans la mesure où l’autorisation litigieuse renferme un projet spatial tout à fait distinct de celui contenu dans le PLQ existant. Le fait que les préavis des instances spécialisées consultées soient favorables ne change rien à ce constat, mais soulève la question de savoir si, comme le soutiennent la commune et le département, ce dernier pouvait ignorer le PLQ en vigueur et délivrer l’autorisation litigieuse aux seuls motifs de l’intérêt public incontesté lié à l’hébergement adéquat des personnes migrantes et du caractère provisoire de ladite autorisation.</w:t>
      </w:r>
    </w:p>
    <w:p>
      <w:r>
        <w:t>À la différence de l’ATA/367/2003 précité invoqué par les recourants, la parcelle visée par les constructions litigieuses se trouve dans le périmètre d’un PLQ en vigueur. Le fait que ce dernier soit ancien ne change rien au fait qu’il est toujours en vigueur et a, de ce fait, force obligatoire pour toute personne en application de l’art. 21 al. 1 LAT. Cet élément, tout comme le fait qu’en vingt-trois ans, ledit PLQ n’a pas été mis en œuvre et que la commune, seule propriétaire de la parcelle visée par ce PLQ, n’envisage plus de le réaliser, peuvent, en revanche, constituer des circonstances susceptibles de justifier l’abrogation, voire la modification, de ce PLQ conformément à l’art. 21 al. 2 LAT. Toutefois, aucune démarche en ce sens n’a, à ce jour, été initiée. De plus, à teneur de l’art. 6 al. 14 et al. 16 LGZD ainsi que de l’art. 13B al. 1 phr. 2 LaLAT, le PLQ est applicable tant qu’il n’a pas été abrogé ou modifié, ce qui est d’ailleurs conforme à l’art. 21 al. 1 LAT. Sous réserve d’écarts mineurs au</w:t>
      </w:r>
    </w:p>
    <w:p>
      <w:r>
        <w:t>- 17/20 - A/2578/2016 sens de l’art. 3 al. 5 phr. 2 LGZD, le PLQ existant a force obligatoire pour chacun et ne peut dès lors être écarté tant qu’il est en vigueur, ce d’autant plus que le PLQ n° 28'523 a été établi sous l’empire de la LAT et bénéfice, au regard de la jurisprudence fédérale susmentionnée, de la présomption de validité. Le caractère provisoire de l’autorisation litigieuse ne change rien à la force obligatoire du PLQ existant, ni à l’obligation posée par l’art. 22 al. 2 let. a LAT, selon laquelle l’autorisation de construire doit être conforme à l’affectation de la zone. La Confédération et les cantons doivent en outre prendre en compte les impératifs de l’aménagement du territoire dans l’accomplissement de leurs tâches (art. 75 al. 3 de la Constitution fédérale de la Confédération suisse du 18 avril 1999 - Cst. - RS 101).</w:t>
      </w:r>
    </w:p>
    <w:p>
      <w:r>
        <w:t>Il reste à examiner l’argument fondé sur l’art. 2 al. 1 ab initio LGZD, selon lequel il n’y a lieu ni de respecter le PLQ existant, ni de le modifier puisque les autorisations de construire en zone de développement portant sur des objets provisoires peuvent être délivrées sans l’établissement préalable d’un PLQ. Un tel raisonnement ne peut être suivi. Il ignore non seulement la force obligatoire du PLQ découlant de l’art. 21 al. 1 LAT, mais également la fonction même de ce type de plan, qui vise à préciser l’aménagement du territoire sur un périmètre délimité et qui découle expressément de la LGZD, en particulier des art. 2 al. 1 let. a et art. 3 al. 5 LGZD. La situation juridique n’est pas la même selon qu’une zone de développement régie par la LGZD fait l’objet d’un PLQ ou non. Dans le premier cas, les options spatiales de cette zone d’affectation ont été précisées et résultent d’une procédure démocratique ayant fait l’objet d’une pesée des intérêts, conformément aux art. 4 LAT et 3 de l’ordonnance sur l’aménagement du territoire du 28 juin 2000 (OAT - RS 700.1), alors que tel n’est pas le cas en l’absence de PLQ. Cette différence explique que, dans cette seconde hypothèse, des autorisations de construire puissent être accordées pour des objets de peu d’importance ou provisoires, comme le prévoit l’art. 2 al. 1 ab initio LGZD, car alors les options territoriales n’ont pas été affinées et leur définition ne risque pas d’être mise en péril par la délivrance de telles autorisations. Le principe de parallélisme des formes invoqué par le département impose plutôt d’envisager une modification du PLQ existant que de l’ignorer. Par ailleurs, le fait qu’il soit possible de recourir contre l’autorisation de construire litigieuse n’est pas un moyen équivalent à celui garanti à l’art. 4 LAT. La voie de recours est un instrument de protection juridique destiné à vérifier la légalité de l’activité étatique, tandis que la participation au sens de l’art. 4 LAT revêt une portée politique et permet une large pesée des intérêts avant l’établissement du plan. Quant à l’art. 2 al. 2 LGZD, il n’est en l’espèce pas applicable, le Conseil d’État n’ayant pas renoncé à établir un PLQ.</w:t>
      </w:r>
    </w:p>
    <w:p>
      <w:r>
        <w:t>Enfin, il y a lieu d’écarter l’argument relatif à l’art. 26a LAsi dont l’al. 1 dispose que les installations et les constructions de la Confédération peuvent être utilisées sans autorisation cantonale ou communale pour l'hébergement de</w:t>
      </w:r>
    </w:p>
    <w:p>
      <w:r>
        <w:t>- 18/20 - A/2578/2016 requérants d'asile pendant trois ans au plus, lorsque le changement d'affectation ne nécessite pas d'importants travaux de transformation et qu'il n'entraîne aucune modification essentielle dans l'occupation de l'installation ou de la construction. En effet, le projet litigieux ne vise pas un changement d’affectation de bâtiments ou installations existantes, mais la construction de nouveaux bâtiments. Le fait que la destination de ceux-ci concerne l’exécution d’une tâche découlant de la législation fédérale en matière d’asile, ne signifie pas encore que les constructions projetées appartiennent à la Confédération, cette question n’ayant pas, vu qu’il s’agit de nouvelles constructions, à être davantage instruite. Une application par analogie de cette disposition fédérale n’est au surplus pas envisageable, vu le droit fédéral en matière d’aménagement du territoire précité et la réglementation genevoise spécifique à la zone de développement susmentionnée, l’autorisation litigieuse ayant par ailleurs été octroyée pour une durée supérieure à trois ans.</w:t>
      </w:r>
    </w:p>
    <w:p>
      <w:r>
        <w:t>Par conséquent, les recours seront rejetés et le jugement du TAPI annulant l’autorisation litigieuse, confirmé. Dans la présente affaire, l’autorisation de construire litigieuse ne respecte pas les règles découlant du PLQ en vigueur à cet endroit, alors que l’autorisation de construire – objet de la cause n° A/2393/2016 – respecte les règles définies par le plan d’affectation général à la zone concernée par le projet, soit la 5ème zone de construction. 5)</w:t>
      </w:r>
    </w:p>
    <w:p>
      <w:r>
        <w:t>Au vu de ce qui précède, les recours seront rejetés.</w:t>
      </w:r>
    </w:p>
    <w:p>
      <w:r>
        <w:t>Vu l’issue du litige, un émolument de CHF 700.- chacun sera respectivement mis à la charge de la commune et de l’hospice, qui ont recouru et n’ont pas obtenu gain de cause (art. 87 al. 1 LPA). Aucun émolument ne sera mis à la charge du département qui a délivré l’autorisation litigieuse (art. 87 al. 1 LPA). Aucune indemnité de procédure ne sera allouée à Mme MASÉ et aux époux ZUMSTEIN, qui ont agi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