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ATA/145/2015 vom 3. Februar 2015</w:t>
      </w:r>
    </w:p>
    <w:p>
      <w:r>
        <w:t>GE Cour de justice, 2015-02-03, FR</w:t>
      </w:r>
    </w:p>
    <w:p>
      <w:r>
        <w:rPr>
          <w:b/>
        </w:rPr>
        <w:t xml:space="preserve">Quelle: </w:t>
      </w:r>
      <w:r>
        <w:t>https://mcp.opencaselaw.ch/entscheid/ge_gerichte_ATA_145_2015</w:t>
      </w:r>
    </w:p>
    <w:p>
      <w:r>
        <w:t>FR: GE_GERICHTE ATA/145/2015 du 3 février 2015</w:t>
      </w:r>
    </w:p>
    <w:p>
      <w:r>
        <w:t>IT: GE_GERICHTE ATA/145/2015 del 3 febbraio 2015</w:t>
      </w:r>
    </w:p>
    <w:p>
      <w:pPr>
        <w:pStyle w:val="Heading2"/>
      </w:pPr>
      <w:r>
        <w:t>Erwägungen</w:t>
      </w:r>
    </w:p>
    <w:p>
      <w:r>
        <w:rPr>
          <w:b/>
        </w:rPr>
        <w:t>E. 23</w:t>
      </w:r>
    </w:p>
    <w:p>
      <w:r>
        <w:t>septembre 2014, seule façon de corriger ce dernier d’une façon qui permettra de faire état de l’entier des phases de la procédure, mais qui ne changera pas la solution adoptée sur le fond, ne constitue pas un cas d’erreur matérielle, au sens de l’art. 85 LPA. 6)</w:t>
      </w:r>
    </w:p>
    <w:p>
      <w:r>
        <w:t>La demande du recourant du 7 octobre 2014 sera déclarée irrecevable. Aucun émolument ne sera perçu au vu des circonstances, malgré l’issue de la présente cause (art. 87 LPA). * * * * *</w:t>
      </w:r>
    </w:p>
    <w:p>
      <w:r>
        <w:t>- 5/5 - A/3333/2014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