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ATA/145/2004 vom 10. Februar 2004</w:t>
      </w:r>
    </w:p>
    <w:p>
      <w:r>
        <w:t>GE Cour de justice, 2004-02-10, FR</w:t>
      </w:r>
    </w:p>
    <w:p>
      <w:r>
        <w:rPr>
          <w:b/>
        </w:rPr>
        <w:t xml:space="preserve">Quelle: </w:t>
      </w:r>
      <w:r>
        <w:t>https://mcp.opencaselaw.ch/entscheid/ge_gerichte_ATA_145_2004</w:t>
      </w:r>
    </w:p>
    <w:p>
      <w:r>
        <w:t>FR: GE_GERICHTE ATA/145/2004 du 10 février 2004</w:t>
      </w:r>
    </w:p>
    <w:p>
      <w:r>
        <w:t>IT: GE_GERICHTE ATA/145/2004 del 10 febbraio 2004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L'art. 29 al. 2 de la Constitution fédérale de la Confédération suisse du 18 avril 1999 (Cst. féd. - RS 101)</w:t>
      </w:r>
    </w:p>
    <w:p>
      <w:r>
        <w:t>comporte le droit pour l'intéressé d'obtenir qu'il soit donné suite à ses offres de preuve, lorsqu'elles sont présentées en temps utile et dans les formes requises. Encore faut-il que les preuves fournies soient aptes à établir le fait à prouver et que celui-ci soit pertinent, à savoir de nature à influer sur le sort de la décision à prendre. De surcroît, l'art. 29 al. 2 Cst. n'empêche pas le juge de refuser d'administrer une mesure probatoire lorsqu'au terme d'une</w:t>
      </w:r>
    </w:p>
    <w:p>
      <w:r>
        <w:t>- 7 -</w:t>
      </w:r>
    </w:p>
    <w:p>
      <w:r>
        <w:t>appréciation anticipée non arbitraire des preuves proposées, il parvient à la conclusion que les faits pertinents sont déjà établis et qu'un résultat, même favorable au recourant, de la mesure probatoire sollicitée ne l'amènerait pas à modifier sa conviction (ATF 124 I 208 consid. 4a, 241 consid. 2; 124 V 372 consid. 3b; 122 II 464 consid. 4a; 106 Ia 161 consid. 2b).</w:t>
      </w:r>
    </w:p>
    <w:p>
      <w:r>
        <w:t>b. Le Tribunal de céans relève que la recourante s'est plainte pour la première fois de mobbing lors du dépôt du présent recours. Elle aurait eu l'occasion de faire valoir ce grief lorsqu'elle a établi sa note du 18 février 2003, à l'issue de la deuxième évaluation. Elle aurait pu le faire aussi lorsqu'elle a adressé une lettre le 18 avril 2003 au directeur général en lui faisant part de diverses doléances.</w:t>
      </w:r>
    </w:p>
    <w:p>
      <w:r>
        <w:t>c. Par mobbing, il faut entendre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Il résulte des particularités du mobbing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(ATA M. du 27 mai 2003 No A/481/2002).</w:t>
      </w:r>
    </w:p>
    <w:p>
      <w:r>
        <w:t>d. Dans le cas d'espèce, le Tribunal admet qu'il y a eu un conflit entre la recourante et l'une, voire deux de ses collègues. Cette situation de conflit, dont la hiérarchie a été consciente puisque celle-ci a déplacé la recourante dans un autre bureau lui donnant ainsi entière satisfaction, n'est toutefois pas constitutive de mobbing. A tout le moins, la recourante n'a pas rendu vraisemblable qu'elle a fait l'objet de harcèlement. Au cours des deux années et demi qu'elle a passées au service de l'OCL, à aucun moment elle ne s'est plainte de mobbing. Aussi faut-il admettre que la recourante fait une confusion avec ce qu'il y a lieu de définir comme du mobbing, avec un conflit qui peut exister avec l'un ou l'autre collègue de travail.</w:t>
      </w:r>
    </w:p>
    <w:p>
      <w:r>
        <w:t>Il en résulte que le Tribunal renoncera à l'audition de témoins. A supposer en effet que le harcèlement soit établi, les faits qui ont justifié le licenciement de la</w:t>
      </w:r>
    </w:p>
    <w:p>
      <w:r>
        <w:t>- 8 -</w:t>
      </w:r>
    </w:p>
    <w:p>
      <w:r>
        <w:t>recourante sont à rechercher ailleurs, en ce sens que plusieurs incidents se sont produits, lesquels ont démontré que la recourante était parfaitement irascible, incapable de maîtriser ses nerfs, et que la violence dont elle a fait preuve, aussi bien verbalement que physiquement, a entraîné une dégradation des relations de travail. Au surplus, les difficultés relationnelles qu'a connues la recourante ne sont pas la conséquence d'un éventuel harcèlement.</w:t>
      </w:r>
    </w:p>
    <w:p>
      <w:r>
        <w:rPr>
          <w:b/>
        </w:rPr>
        <w:t>E. 3</w:t>
      </w:r>
    </w:p>
    <w:p>
      <w:r>
        <w:t>Lorsqu'une personne est engagée pour occuper une fonction permanente au sein de l'administration cantonale, elle a le statut d'employé aux termes de l'article 6 de la loi générale relative au personnel de l'administration cantonale et des établissements publics médicaux du</w:t>
      </w:r>
    </w:p>
    <w:p>
      <w:r>
        <w:rPr>
          <w:b/>
        </w:rPr>
        <w:t>E. 4</w:t>
      </w:r>
    </w:p>
    <w:p>
      <w:r>
        <w:t>décembre 1997 (LPAC - B 5 05). Au terme d'une période probatoire de trois ans le Conseil d'Etat peut nommer l'intéressé fonctionnaire (art. 47 du règlement relatif au personnel de l'administration cantonale du 24 février 1999 - B</w:t>
      </w:r>
    </w:p>
    <w:p>
      <w:r>
        <w:rPr>
          <w:b/>
        </w:rPr>
        <w:t>E. 5</w:t>
      </w:r>
    </w:p>
    <w:p>
      <w:r>
        <w:t>Reste à examiner si le congé est arbitraire au sens de l'article 9 Cst.</w:t>
      </w:r>
    </w:p>
    <w:p>
      <w:r>
        <w:t>Il faut répondre à cette question par la négative. Les trois rapports d'évaluation ont fait état des difficultés d'intégration et d'adaptation de la recourante. De même, ses problèmes relationnels ont été illustrés par deux incidents relativement graves, au cours desquels la recourante a démontré une certaine violence physique en portant un coup à un collègue, tandis que lors du deuxième incident, celui qui l'a mis aux prises avec son supérieur hiérarchique, elle n'a pas hésité à le rouer d'insultes.</w:t>
      </w:r>
    </w:p>
    <w:p>
      <w:r>
        <w:t>Or, les difficultés d'ordre relationnel, selon une jurisprudence constante du Tribunal de céans, sont susceptibles de constituer des raisons justifiant le licenciement d'un fonctionnaire et, a fortiori, celui d'un employé en période probatoire (ATA K. du 20 janvier 2004 No A/1235/2003).</w:t>
      </w:r>
    </w:p>
    <w:p>
      <w:r>
        <w:rPr>
          <w:b/>
        </w:rPr>
        <w:t>E. 6</w:t>
      </w:r>
    </w:p>
    <w:p>
      <w:r>
        <w:t>Il n'y a pas lieu d'examiner les conclusions de la recourante tendant à sa réintégration, ni, en cas de refus, au versement d'une indemnité pécuniaire. L'employé en période probatoire en effet ne peut prétendre à un tel versement, celui-ci étant réservé aux seuls fonctionnaires (ATA G. du</w:t>
      </w:r>
    </w:p>
    <w:p>
      <w:r>
        <w:rPr>
          <w:b/>
        </w:rPr>
        <w:t>E. 9</w:t>
      </w:r>
    </w:p>
    <w:p>
      <w:r>
        <w:t>décembre 2003 N° A/2/2003 et jurisprudence citée).</w:t>
      </w:r>
    </w:p>
    <w:p>
      <w:r>
        <w:t>- 10 -</w:t>
      </w:r>
    </w:p>
    <w:p>
      <w:r>
        <w:t>7. Le recours ne peut être que rejeté. Vu l'issue du litige, un émolument de CHF 800.-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