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ATA/144/2014 vom 11. März 2014</w:t>
      </w:r>
    </w:p>
    <w:p>
      <w:r>
        <w:t>GE Cour de justice, 2014-03-11, FR</w:t>
      </w:r>
    </w:p>
    <w:p>
      <w:r>
        <w:rPr>
          <w:b/>
        </w:rPr>
        <w:t xml:space="preserve">Quelle: </w:t>
      </w:r>
      <w:r>
        <w:t>https://mcp.opencaselaw.ch/entscheid/ge_gerichte_ATA_144_2014</w:t>
      </w:r>
    </w:p>
    <w:p>
      <w:r>
        <w:t>FR: GE_GERICHTE ATA/144/2014 du 11 mars 2014</w:t>
      </w:r>
    </w:p>
    <w:p>
      <w:r>
        <w:t>IT: GE_GERICHTE ATA/144/2014 del 11 marzo 2014</w:t>
      </w:r>
    </w:p>
    <w:p>
      <w:pPr>
        <w:pStyle w:val="Heading2"/>
      </w:pPr>
      <w:r>
        <w:t>Erwägungen</w:t>
      </w:r>
    </w:p>
    <w:p>
      <w:r>
        <w:rPr>
          <w:b/>
        </w:rPr>
        <w:t>E. 18</w:t>
      </w:r>
    </w:p>
    <w:p>
      <w:r>
        <w:t>février 2014 consid. 3a ; ATA/347/2012 du 5 juin 2012 consid. 4a ; ATA/284/2012 du 8 mai 2012 consid. 4 ; ATA/50/2009 du 27 janvier 2009 consid. 2 et les références citées).</w:t>
      </w:r>
    </w:p>
    <w:p>
      <w:r>
        <w:t>- 4/8 - A/2706/2013</w:t>
      </w:r>
    </w:p>
    <w:p>
      <w:r>
        <w:t>b. S’agissant d’un acte soumis à réception, telle une décision ou une communication de procédure, la notification est réputée faite au moment où l’envoi entre dans la sphère de pouvoir de son destinataire (P. MOOR, Droit administratif, vol. 2, 3ème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t>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w:t>
      </w:r>
    </w:p>
    <w:p>
      <w:r>
        <w:t>Les décisions sont notifiées aux parties, le cas échéant à leur domicile élu auprès de leur mandataire, par écrit (art. 46 al. 2 LPA). Une notification irrégulière ne peut entraîner aucun préjudice pour les parties (art. 47 LPA). 4) a. Par ailleurs, selon la jurisprudence fédérale, les actes du représentant sont opposables au représenté comme les siens propres ; ce principe vaut également en droit public (Arrêts du Tribunal fédéral 2C_577/2013 du 4 février 2014 consid. 6.1 ; 2C_280/2013 du 6 avril 2013, tous deux rendus dans des affaires fiscales).</w:t>
      </w:r>
    </w:p>
    <w:p>
      <w:r>
        <w:t>b. A défaut d'une procuration écrite clairement libellée, on n'admettra toutefois l'existence d'un rapport de représentation que si l'on peut inférer des circonstances que le justiciable a manifesté sans ambiguïté la volonté de conférer des pouvoirs de représentation à un tiers ; sans quoi, la présomption naturelle que des pouvoirs de représentation n'ont pas été conférés s'applique, et il faut alors notifier les</w:t>
      </w:r>
    </w:p>
    <w:p>
      <w:r>
        <w:t>- 5/8 - A/2706/2013 décisions au justiciable directement (Arrêt du Tribunal fédéral 2C_577/2013 précité, consid. 6.1). 5)</w:t>
      </w:r>
    </w:p>
    <w:p>
      <w:r>
        <w:t>En l'espèce, Unia, même s'il n'a pas à cette occasion fourni de procuration écrite, a déposé des actes de recours auprès du TAPI au nom des recourants et en qualité de mandataire. Entendue en comparution personnelle le 17 décembre 2013, Mme X______ a indiqué qu'elle ne savait pas pourquoi un représentant du syndicat ne l'avait pas accompagnée, ce qui montre clairement qu'elle considérait le syndicat comme son mandataire. Les actes de ce dernier lui sont dès lors opposables. 6)</w:t>
      </w:r>
    </w:p>
    <w:p>
      <w:r>
        <w:t>Unia a reçu le jugement attaqué le 6 janvier 2014, ainsi que cela résulte de l'accusé de réception de l’entreprise La Poste. Le délai pour recourir a donc commencé à courir le lendemain, soit le 7 janvier 2014, pour échoir le mercredi 5 février 2014.</w:t>
      </w:r>
    </w:p>
    <w:p>
      <w:r>
        <w:t>En postant son recours le 21 février 2014 à la chambre de céans, la recourante n’a pas respecté le délai légal de recours. 7)</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 8)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(ATA/397/2013 du 25 juin 2013 consid. 9 ; ATA/744/2012 du 30 octobre 2012 ; ATA/38/2011 du 25 janvier 2011 ; D. YERSIN/Y. NOËL, Commentaire de la loi sur l’impôt fédéral direct, 2007, ad art. 133 p. 1283 n. 14 et 15).</w:t>
      </w:r>
    </w:p>
    <w:p>
      <w:r>
        <w:t>b. Pour établir l’existence d’un cas de force majeure, le fardeau de la preuve incombe à l’intéressé (ATA/744/2012 précité et les références citées). 9)</w:t>
      </w:r>
    </w:p>
    <w:p>
      <w:r>
        <w:t>En l'espèce, l'attestation établie par Unia et fournie par la recourante montre que le retard pris dans la transmission du jugement aux intéressés est dû à un problème d'organisation au sein du syndicat. Or l'impéritie du mandataire ne saurait être reconnue comme un cas de force majeure, sous peine notamment de</w:t>
      </w:r>
    </w:p>
    <w:p>
      <w:r>
        <w:t>- 6/8 - A/2706/2013 vider de son sens le principe susmentionné selon lequel les actes et omissions du représentant sont opposables au représenté. 10) Le recours doit donc être déclaré irrecevable, sans autre acte d'instruction conformément à l'art. 72 LPA. 11) Au vu des circonstances, il sera renoncé à percevoir un émolument (art. 87 al. 1 LPA). Vu l'issue du litige, aucune indemnité de procédure ne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