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ATA/1446/2017 vom 31. Oktober 2017</w:t>
      </w:r>
    </w:p>
    <w:p>
      <w:r>
        <w:t>GE Cour de justice, 2017-10-31, FR</w:t>
      </w:r>
    </w:p>
    <w:p>
      <w:r>
        <w:rPr>
          <w:b/>
        </w:rPr>
        <w:t xml:space="preserve">Quelle: </w:t>
      </w:r>
      <w:r>
        <w:t>https://mcp.opencaselaw.ch/entscheid/ge_gerichte_ATA_1446_2017</w:t>
      </w:r>
    </w:p>
    <w:p>
      <w:r>
        <w:t>FR: GE_GERICHTE ATA/1446/2017 du 31 octobre 2017</w:t>
      </w:r>
    </w:p>
    <w:p>
      <w:r>
        <w:t>IT: GE_GERICHTE ATA/1446/2017 del 31 ottobre 2017</w:t>
      </w:r>
    </w:p>
    <w:p>
      <w:pPr>
        <w:pStyle w:val="Heading2"/>
      </w:pPr>
      <w:r>
        <w:t>Erwägungen</w:t>
      </w:r>
    </w:p>
    <w:p>
      <w:r>
        <w:rPr>
          <w:b/>
        </w:rPr>
        <w:t>E. 10</w:t>
      </w:r>
    </w:p>
    <w:p>
      <w:r>
        <w:t>novembre 2015 consid. 5b ; ATA/129/2014 du 4 mars 2014 consid. 3 ; ATA/535/2011 du 30 août 2011 consid. 5).</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in Droit des marchés publics, 2002, p. 110 ; Olivier RODONDI, La gestion de la procédure de soumission in Droit des marchés publics, 2008, p. 186 n. 63).</w:t>
      </w:r>
    </w:p>
    <w:p>
      <w:r>
        <w:t>Les principes précités valent également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w:t>
      </w:r>
    </w:p>
    <w:p>
      <w:r>
        <w:t>- 5/7 - A/4174/2017 extrapolation, si celui-ci remplit les conditions d’aptitude ou d’offre conformes à ce qui est exigé dans le cahier des charges (ATA/1216/2015 précité consid. 5c ; ATA/291/2014 du 29 avril 2014 consid. 5, confirmé par arrêt du Tribunal fédéral 2C_418/2014 du 20 août 2014 ; ATA/102/2010 du 16 février 2010, confirmé par arrêts du Tribunal fédéral 2C_197/2010 et 2C_198/2010 du 30 avril 2010). Dans l’hypothèse où des documents sont manquants à réception de l’offre, il convient d’en considérer l’importance eu égard au dossier dans son ensemble (ATA/1216/2015 précité consid. 5c ; ATA/79/2008 du 19 février 2008 consid. 4 ; ATA/250/2006 du 9 mai 2006 consid. 4 ; Denis ESSEIVA, DC 2/2002 p. 77-78).</w:t>
      </w:r>
    </w:p>
    <w:p>
      <w:r>
        <w:t>La chambre de céans s'est toujours montrée stricte dans ce domaine (ATA/420/2016 précité consid. 5c ; ATA/291/2014 précité consid. 5 ; ATA/535/2011 précité consid. 6 ; ATA/150/2006 du 14 mars 2006, notamment), ce que le Tribunal fédéral a constaté mais confirmé (arrêts du Tribunal fédéral 2C_418/2014, 2C_197/2010 et 2C_198/2010 précités), la doctrine étant plus critique à cet égard (Olivier RODONDI, op. cit., p. 186 n. 64 et p. 187 n. 66). 6)</w:t>
      </w:r>
    </w:p>
    <w:p>
      <w:r>
        <w:t>En l’occurrence, la recourante admet que, dans le délai imparti pour le dépôt des offres, elle n’a pas fourni l’attestation de l’OCIRT, requise pour fonder son droit de participer à la phase d’examen des soumissions. En l’absence de ce document, le pouvoir adjudicateur était en droit de prononcer son exclusion du marché en vertu de l’art. 42 al. 1 RMP. Le fait que la recourante, à cause d’une mauvaise compréhension du dossier d’appel d’offres – lequel n’était pourtant pas équivoque – n’ait pas été en mesure de produire ce document dans le délai ne saurait l’excuser. Il lui incombait en effet de prendre toutes dispositions pour se le procurer dans un délai lui permettant de le joindre à son offre avant la fin du délai de dépôt. 7)</w:t>
      </w:r>
    </w:p>
    <w:p>
      <w:r>
        <w:t>Manifestement mal fondé, le recours sera rejeté sans qu’il y ait besoin d’ouvrir une instruction (art. 72 de la loi sur la procédure administrative du</w:t>
      </w:r>
    </w:p>
    <w:p>
      <w:r>
        <w:rPr>
          <w:b/>
        </w:rPr>
        <w:t>E. 12</w:t>
      </w:r>
    </w:p>
    <w:p>
      <w:r>
        <w:t>septembre 1985 - LPA - E 5 10). 8)</w:t>
      </w:r>
    </w:p>
    <w:p>
      <w:r>
        <w:t>Vu l’issue du recours, un émolument de CHF 1'000.- sera mis à la charge de la recourante (art. 87 al. 1 LPA). Aucune indemnité de procédure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