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ATA/143/2022 vom 8. Februar 2022</w:t>
      </w:r>
    </w:p>
    <w:p>
      <w:r>
        <w:t>GE Cour de justice, 2022-02-08, FR</w:t>
      </w:r>
    </w:p>
    <w:p>
      <w:r>
        <w:rPr>
          <w:b/>
        </w:rPr>
        <w:t xml:space="preserve">Quelle: </w:t>
      </w:r>
      <w:r>
        <w:t>https://mcp.opencaselaw.ch/entscheid/ge_gerichte_ATA_143_2022</w:t>
      </w:r>
    </w:p>
    <w:p>
      <w:r>
        <w:t>FR: GE_GERICHTE ATA/143/2022 du 8 février 2022</w:t>
      </w:r>
    </w:p>
    <w:p>
      <w:r>
        <w:t>IT: GE_GERICHTE ATA/143/2022 del 8 febbraio 2022</w:t>
      </w:r>
    </w:p>
    <w:p>
      <w:pPr>
        <w:pStyle w:val="Heading2"/>
      </w:pPr>
      <w:r>
        <w:t>Regeste</w:t>
      </w:r>
    </w:p>
    <w:p>
      <w:r>
        <w:t>Résumé: Question de la déductibilité d'une provision pour risques et charges enregistrée dans les comptes 2018 de la recourante. Confirmation du refus de cette déduction au motif qu’il n’y avait pas de risque de perte réel, concret, imminent et certain ou quasi-certain durant l’exercice litigieux.</w:t>
      </w:r>
    </w:p>
    <w:p>
      <w:pPr>
        <w:pStyle w:val="Heading2"/>
      </w:pPr>
      <w:r>
        <w:t>Erwägungen</w:t>
      </w:r>
    </w:p>
    <w:p>
      <w:r>
        <w:rPr>
          <w:b/>
        </w:rPr>
        <w:t>E. 12</w:t>
      </w:r>
    </w:p>
    <w:p>
      <w:r>
        <w:t>septembre 1985 - LPA - E 5 10). 2) a. Le litige porte sur la reprise de la provision de CHF 780’000.-, comptabilisée en 2018 à titre de « provision pour indemnité rupture contrat SWAP » dans le cadre de la taxation ICC et IFD 2018 de la recourante.</w:t>
      </w:r>
    </w:p>
    <w:p>
      <w:r>
        <w:t>b.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 ATA/1369/2021 du</w:t>
      </w:r>
    </w:p>
    <w:p>
      <w:r>
        <w:rPr>
          <w:b/>
        </w:rPr>
        <w:t>E. 14</w:t>
      </w:r>
    </w:p>
    <w:p>
      <w:r>
        <w:t>décembre 2021 consid. 2d). 3) a. Les questions de droit matériel sont résolues en fonction du droit en vigueur lors des périodes fiscales litigieuses (ATA/191/2020 du 18 février 2020 consid. 4b).</w:t>
      </w:r>
    </w:p>
    <w:p>
      <w:r>
        <w:t>b. En l'espèce, le présent litige porte sur l'ICC et l’IFD 2018 de la recourante. La cause est ainsi régie par le droit en vigueur durant ces périodes, à savoir, s'agissant de l'IFD, par les dispositions de la LIFD et, pour ce qui est de l'ICC, par celles de la loi sur l’imposition des personnes morales du 23 septembre 1994 (LIPM - D 3 15). 4) a. Selon les art. 57 LIFD et 11 LIPM, l'impôt sur le bénéfice a pour objet le bénéfice net. Les amortissements et les provisions qui ne sont pas justifiés par l'usage commercial sont considérés comme bénéfice net imposable (art. 58 al. 1 let. b LIFD et 12 al. 1 let. e LIPM). L'impôt sur le bénéfice a pour objet le bénéfice net, tel qu'il découle du compte de pertes et profits établi selon les règles du droit commercial (art. 57 et 58 al. 1 LIFD ; Xavier OBERSON, Droit fiscal suisse, 5ème éd., 2021, p. 260).</w:t>
      </w:r>
    </w:p>
    <w:p>
      <w:r>
        <w:t>Tous les prélèvements opérés sur le résultat commercial qui ne servent pas à couvrir des dépenses justifiées par l'usage commercial sont ajoutés au bénéfice imposable (art. 58 al. 1 let. b LIFD), telle par exemple une provision non justifiée.</w:t>
      </w:r>
    </w:p>
    <w:p>
      <w:r>
        <w:t>- 9/17 - A/1909/2020 L'art. 58 al. 1 let. a LIFD énonce également le principe de l'autorité du bilan commercial (ou principe de déterminance), selon lequel le bilan commercial est déterminant en droit fiscal, et sur lequel il sera revenu ci-après.</w:t>
      </w:r>
    </w:p>
    <w:p>
      <w:r>
        <w:t>Selon l'art. 12 let. a LIPM, constitue le bénéfice net imposable celui qui résulte du compte de pertes et profits augmenté de certains prélèvement énoncés aux art. 12 let. b à i LIPM. L'art. 12 LIPM, même rédigé différemment, est de même portée que l'art. 58 al. 1 LIFD (ATA/945/2020 du 22 septembre 2020 consid. 4a ; ATA/380/2018 du 24 avril 2018 et les arrêts cités).</w:t>
      </w:r>
    </w:p>
    <w:p>
      <w:r>
        <w:t>b. Selon l’art. 63 LIFD, les provisions peuvent être constituées à la charge du compte de résultat pour : a. les engagements de l’exercice dont le montant est encore indéterminé ; b. les risques de perte sur les actifs circulants, notamment sur les marchandises et les débiteurs ; c. les autres risques de perte imminente durant l’exercice ; d. les futurs mandats de recherche et développement confiés à des tiers, jusqu’à 10 % au plus du bénéfice imposable mais au total jusqu’à CHF 1'000'000.- au maximum. Selon l’al. 2 du même article, les provisions qui ne se justifient plus sont à ajouter au bénéfice imposable.</w:t>
      </w:r>
    </w:p>
    <w:p>
      <w:r>
        <w:t>En droit cantonal, l’art. 16B LIPM est le pendant de l’art. 63 al. 1 let. a à c et al. 2 LIFD, qu’il reprend mot par mot. 5)</w:t>
      </w:r>
    </w:p>
    <w:p>
      <w:r>
        <w:t>L'admissibilité d'une provision au plan fiscal suppose qu'elle soit justifiée par l'usage commercial, qu'elle ait été dûment comptabilisée et qu’elle porte sur des faits dont l'origine se déroule durant la période de calcul (arrêts du Tribunal fédéral 2C_712/2020 du 4 mars 2021 consid. 5.1 ; 2C_1059/2019 du 1er décembre 2020 consid. 4.1.1 ; 2C_455/2017 du 17 septembre 2018 consid. 6.3 ; 2C_581/2010 du 28 mars 2011 consid. 3.1 ; ATA/829/2021 du 10 août 2021 consid. 5).</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w:t>
      </w:r>
    </w:p>
    <w:p>
      <w:r>
        <w:t>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w:t>
      </w:r>
    </w:p>
    <w:p>
      <w:r>
        <w:t>Le droit fiscal ne permet pas la constitution par le biais de provisions de réserves latentes, pourtant tolérées en droit commercial (ATF 103 Ib 366 ; Robert</w:t>
      </w:r>
    </w:p>
    <w:p>
      <w:r>
        <w:t>- 10/17 - A/1909/2020 DANON, in Yves NOËL/Florence AUBRY GIRARDIN, Commentaire romand de la loi sur l'impôt fédéral direct, 2ème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2C_712/2020 du 4 mars 2021 consid. 5.1 ; 2C_581/2010 précité consid. 3.1 et les arrêts cités). Le droit fiscal n'admet ainsi pas la diminution artificielle du bénéfice par le biais de provisions injustifiées (arrêt du Tribunal fédéral 2C_1101/2014 du 23 novembre 2015 consid. 3).</w:t>
      </w:r>
    </w:p>
    <w:p>
      <w:r>
        <w:t>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2020, L'imposition des personnes morales, in Informations fiscales éditées par la Conférence suisse des impôts CSI, ch. 5.1.1.3, p. 31).</w:t>
      </w:r>
    </w:p>
    <w:p>
      <w:r>
        <w:t>Les provisions pour les engagements (« Verpflichtungen ») de l'exercice au sens de l'art. 63 al. 1 let. a LIFD doivent reposer sur un contrat ou sur une loi. Cela comprend les engagements conditionnels, pour autant que la réalisation de la condition soit très vraisemblable (arrêts du Tribunal fédéral 2C_712/2020 du 4 mars 2021 consid. 5.1 ; 2C_581/2010 précité consid. 3.1). Cette catégorie de provisions contient celles pour garanties et pour dommages-intérêts (Message sur l'harmonisation fiscale, FF 1983 III, p. 177 ; Robert DANON, op.cit., n. 19 ad art. 63 LIFD) ainsi que les provisions pour litige ou constituées pour des affaires en cours (Robert DANON, op.cit., n. 19 et 20 ad art. 63 LIFD).</w:t>
      </w:r>
    </w:p>
    <w:p>
      <w:r>
        <w:t>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ATA/223/2020 du 25 février 2020 consid. 4c). Avec une provision, on met à charge du compte de résultat de</w:t>
      </w:r>
    </w:p>
    <w:p>
      <w:r>
        <w:t>- 11/17 - A/1909/2020 l'exercice commercial en cours un engagement qui deviendra une dépense commerciale, qui existe ou du moins est vraisemblable à la clôture du bilan mais dont le montant exact ne sera connu que lors du ou des prochains exercices commerciaux. Les faits qui sont à l'origine de la perte effective ou vraisemblable doivent avoir lieu durant l'exercice commercial en cours (RDAF 2011 II 70, p. 75).</w:t>
      </w:r>
    </w:p>
    <w:p>
      <w:r>
        <w:t>La question de savoir si une provision est justifiée par l'usage commercial doit être examinée sur la base de tous les éléments en présence et à la lumière de la situation prévalant au moment où le bilan est établi (arrêts du Tribunal fédéral 2C_712/2020 précité consid. 5.1 ; 2C_581/2010 du 28 mars 2011 consid. 3.1).</w:t>
      </w:r>
    </w:p>
    <w:p>
      <w:r>
        <w:t>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w:t>
      </w:r>
    </w:p>
    <w:p>
      <w:r>
        <w:t>S'agissant des déductions autorisées par la loi, leur caractère d'exception à l'impôt doit entraîner une interprétation restrictive de leur nature et de leur étendue (ATA/858/2018 du 21 août 2018 ; ATA/958/2014 du 2 décembre 2014 et les références citées). 6)</w:t>
      </w:r>
    </w:p>
    <w:p>
      <w:r>
        <w:t>Les art. 959 ss CO traitent des comptes annuels et de la tenue du bilan.</w:t>
      </w:r>
    </w:p>
    <w:p>
      <w:r>
        <w:t>L’art. 960e CO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 7)</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LIFD visent à compenser le fait que le résultat comptable</w:t>
      </w:r>
    </w:p>
    <w:p>
      <w:r>
        <w:t>- 12/17 - A/1909/2020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t>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w:t>
      </w:r>
    </w:p>
    <w:p>
      <w:r>
        <w:t>Le contrôle du respect des normes comptables, même impératives, ne constitue toutefois qu'une étape de l'examen des comptes que doit effectuer d'office et préalablement l'autorité fiscale en application des art. 57 et 58 LIFD (arrêt du Tribunal fédéral 2C_712/2020 précité consid. 4.2 ; Michael BERTSCHINGER, Die handelsrechtliche und steuerrechliche Gewinnermittlung unter dem revidierten Rechnungslegungsrecht, IFF, Stämpfli 2020, n° 184 et les références citées). 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Michael BERTSCHINGER, op. cit., n° 194 ; Peter BÖCKLI, Neue OR-Rechnungslegung, Schulthess 2014, n° 228 ss, spéc. 231 et 235). Les règles correctrices en faveur du fisc permettent aux autorités fiscales de réintroduire dans le résultat fiscal des éléments qui n'apparaîtraient pas dans les comptes commerciaux; les dispositions fiscales conduisent à la prise en compte d'un résultat que les états financiers ne faisaient pas apparaître en toute légalité. Ces reprises peuvent concerner aussi bien des refus de charges que des réintégrations de produits du compte de résultats (Pierre- Marie GLAUSER, IFRS et droit fiscal IFRS et droit fiscal, Les normes true and fair et le principe de déterminance en droit fiscal suisse actuel, Archives 74, p. 529 ss, p. 537 s.).</w:t>
      </w:r>
    </w:p>
    <w:p>
      <w:r>
        <w:t>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w:t>
      </w:r>
    </w:p>
    <w:p>
      <w:r>
        <w:t>- 13/17 - A/1909/2020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w:t>
      </w:r>
    </w:p>
    <w:p>
      <w:r>
        <w:t>Il découle du principe précité, en particulier du devoir de comptabilisation et de qualification qui incombe au contribuable, qu'une requalification d'une provision en une autre est exclue (Markus REICH/Marina ZÜGER, in Martin ZWEIFEL/Peter ATHANAS [éd.], Kommentar zum Schweizerischen Steuerrecht, I/2a - Bundesgesetz über die direkte Bundessteuer [DBG], art. 1-82, 2ème éd., 2008, n. 7 ad art. 29 LIFD ; Jürg STOLL, Die Rückstellung im Handels- und Steuerrecht, 1992, p. 232). 8)</w:t>
      </w:r>
    </w:p>
    <w:p>
      <w:r>
        <w:t>Dans un arrêt rendu sous l’empire d’un arrêté du Conseil fédéral du 9 décembre 1940 concernant la perception d'un impôt fédéral direct (abrogé en 1995), notre Haute Cour a admis une provision destinée à couvrir la dépréciation d’une créance en monnaie étrangère. Dans cette affaire, le dollar avait subi une importante dépréciation de valeur et il était établi qu’il en perdrait encore. La créance ne pouvait donc être cédée à sa valeur au moment de la clôture des comptes, de sorte que la justification commerciale de la provision fut admise (ATF 103 lb 366, 370, consid. 4 = Arch. 48, 64). Il en va en revanche différemment lorsqu’une provision est certes comptabilisée, mais que l’origine de la perte de change est postérieure à la date de clôture des états financiers. Conformément au principe de périodicité, la provision ne peut alors être portée en déduction du bénéfice imposable (arrêt du Tribunal fédéral 2A.375/2001 du 1er février 2002 ; Robert DANON, op. cit., p. 1241, n. 33 ad art. 63 LIFD). 9)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w:t>
      </w:r>
    </w:p>
    <w:p>
      <w:r>
        <w:t>- 14/17 - A/1909/2020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w:t>
      </w:r>
    </w:p>
    <w:p>
      <w:r>
        <w:rPr>
          <w:b/>
        </w:rPr>
        <w:t>E. 16</w:t>
      </w:r>
    </w:p>
    <w:p>
      <w:r>
        <w:t>novembre 2021 consid. 5a ; ATA/1223/2020 du 1er décembre 2020 consid. 3c). 10) En l’espèce, tant l’autorité fiscale que l’instance précédente sont arrivées à la conclusion que la recourante ne se trouvait pas confrontée à un risque de perte réel, concret, imminent et certain ou quasi-certain à la date de clôture de ses comptes au 31 décembre 2018, de sorte qu’elles ont toutes deux considéré que la provision litigieuse n’était pas admissible durant la période fiscale 2018.</w:t>
      </w:r>
    </w:p>
    <w:p>
      <w:r>
        <w:t>La recourante expose pour sa part qu’il n’était pas nécessaire, pour admettre la déduction de la provision litigieuse durant l’exercice 2018, qu’elle se trouvât confrontée à un risque de perte réel, concret et imminent à la date de clôture de ses comptes au 31 décembre 2018, mais à la date d’établissement du bilan, soit le 28 août 2019.</w:t>
      </w:r>
    </w:p>
    <w:p>
      <w:r>
        <w:t>Elle ne saurait toutefois être suivie.</w:t>
      </w:r>
    </w:p>
    <w:p>
      <w:r>
        <w:t>S’il est vrai que la question de savoir si une provision est justifiée par l'usage commercial doit être examinée sur la base de tous les éléments en présence et à la lumière de la situation prévalant jusqu’au moment où le bilan a été établi, il n’en demeure pas moins que les faits qui sont à l'origine de la perte effective ou vraisemblable − soit les faits générateurs du risque − doivent avoir eu lieu durant l'exercice commercial au cours duquel la provision a été comptabilisée et dont la déduction est sollicitée.</w:t>
      </w:r>
    </w:p>
    <w:p>
      <w:r>
        <w:t>Comme cela ressort des pièces au dossier, et comme le relève la recourante elle-même, le contrat SWAP pouvait être résilié unilatéralement par les parties à chaque échéance trimestrielle, l’exposant alors potentiellement au paiement d’une indemnité à n’importe quel moment de la durée du contrat. Dès lors, le seul fait que l’E______ lui ait communiqué, à sa demande, une estimation du montant de l’indemnité qui serait due en cas de résiliation au 31 décembre 2018, comme elle l’a d’ailleurs fait pour de nombreuses autres échéances (au 13 mai, 19 juin, 22 juillet et 9 octobre 2019) par la suite, ne suffit pas à considérer qu’un risque de perte réel, concret, imminent et certain ou quasi certain existait au 31 décembre 2018.</w:t>
      </w:r>
    </w:p>
    <w:p>
      <w:r>
        <w:t>Comme relevé à juste titre par le TAPI, les estimations sollicitées par la recourante auprès de la banque lui permettaient de se renseigner sur les coûts financiers d’une éventuelle rupture du contrat de sa part et d’en apprécier l’opportunité. Elle était toutefois libre de maintenir le contrat inchangé, de le restructurer ou de le résilier. La recourante a finalement choisi de résilier partiellement le contrat SWAP en octobre et décembre 2019. Il ne ressort par</w:t>
      </w:r>
    </w:p>
    <w:p>
      <w:r>
        <w:t>- 15/17 - A/1909/2020 ailleurs du dossier aucun élément qui permettrait de considérer que l’E______ entendait résilier ou modifier le contrat SWAP, bien qu’elle en eût effectivement la possibilité. Or, les provisions constituées en prévision de risques simplement susceptibles de se présenter dans l’avenir ne sont pas admises.</w:t>
      </w:r>
    </w:p>
    <w:p>
      <w:r>
        <w:t>Alors que la recourante a exposé tant dans sa réclamation que dans ses recours au TAPI et à la chambre administrative que le risque de perte avait pris naissance durant l’exercice 2018 du fait que le coût de pénalité de rupture du contrat SWAP s’élevait à CHF 696'177.- en date du 31 décembre 2018, celle-ci expose dorénavant dans le cadre de sa dernière écriture par-devant la chambre de céans que le fait générateur du risque de rupture du contrat SWAP serait la dépréciation des taux d’intérêts amorcée fin 2018. Or, cette nouvelle argumentation, développée manifestement pour les besoins de la cause, ne convainc pas. En effet, le seul fait que les taux d’intérêt aient pu connaître une baisse fin 2018 ne permet pas encore de retenir l’existence d’un risque de perte réel, concret et imminent durant l’exercice 2018. En effet, la recourante aurait pu choisir de ne pas modifier le contrat, en comptant sur l’hypothèse que les taux remonteraient.</w:t>
      </w:r>
    </w:p>
    <w:p>
      <w:r>
        <w:t>Enfin, l’analogie que tente de faire la recourante entre la provision litigieuse et les provisions qui pourraient être constituées dans le cadre d’une « opération à terme » ou pour couvrir une perte pour effet de change est sans incidence sur ce qui précède. En effet, la provision dont la recourante sollicite la déduction ne visait pas, selon les explications fournies par elle-même, à tenir compte d’une dépréciation des taux d’intérêts, mais bien à couvrir le risque de paiement d’une indemnité liée à la rupture du contrat SWAP conclu avec l’E______, de sorte qu’il n’existe aucune similitude entre ces différentes situations.</w:t>
      </w:r>
    </w:p>
    <w:p>
      <w:r>
        <w:t>C’est donc à bon droit que l’AFC-GE a procédé à la reprise de la provision litigieuse et que le TAPI a confirmé cette analyse.</w:t>
      </w:r>
    </w:p>
    <w:p>
      <w:r>
        <w:t>Il résulte de ce qui précède que le recours, mal fondé, doit être rejeté. 11) Vu l'issue du litige, un émolument de CHF 2’000.-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