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ATA/1417/2017 vom 17. Oktober 2017</w:t>
      </w:r>
    </w:p>
    <w:p>
      <w:r>
        <w:t>GE Cour de justice, 2017-10-17, FR</w:t>
      </w:r>
    </w:p>
    <w:p>
      <w:r>
        <w:rPr>
          <w:b/>
        </w:rPr>
        <w:t xml:space="preserve">Quelle: </w:t>
      </w:r>
      <w:r>
        <w:t>https://mcp.opencaselaw.ch/entscheid/ge_gerichte_ATA_1417_2017</w:t>
      </w:r>
    </w:p>
    <w:p>
      <w:r>
        <w:t>FR: GE_GERICHTE ATA/1417/2017 du 17 octobre 2017</w:t>
      </w:r>
    </w:p>
    <w:p>
      <w:r>
        <w:t>IT: GE_GERICHTE ATA/1417/2017 del 17 ottobre 2017</w:t>
      </w:r>
    </w:p>
    <w:p>
      <w:pPr>
        <w:pStyle w:val="Heading2"/>
      </w:pPr>
      <w:r>
        <w:t>Regeste</w:t>
      </w:r>
    </w:p>
    <w:p>
      <w:r>
        <w:t>Résumé: Procédure en rappel et en soustraction d'impôts. La société recourante a octroyé des prêts sans intérêts à des sociétés du même groupe, ces intérêts non perçus constituant des prestations appréciables en argent. Problématique de la réalisation des conditions d'une procédure de rappel d'impôt : compte tenu des déclarations fiscales de la recourante, l'AFC-GE n'était aucunement en mesure de constater l'existence de prestations appréciables en argent. Examen du bien-fondé des reprises effectuées : la recourante soutient qu'il conviendrait de porter en déduction du bénéfice imposable une charge d'intérêt pour les prêts reçus de son actionnaire qui lui auraient permis de supporter les prêts accordés aux filiales. Ce raisonnement ne peut être suivi. Le droit fiscal ne permettant pas de tenir compte des relations existant entre sociétés d'un même groupe, les opérations entre sociétés d'un groupe doivent intervenir comme si elles étaient effectuées avec des tiers dans un environnement de libre concurrence. Par ailleurs, la recourante n'ayant pas effectivement payé d'intérêts pour ces emprunts, elle ne peut prétendre à la déduction d'intérêts fictifs dont elle n'a pas eu à s'acquitter. Enfin, elle ne démontre aucunement que les emprunts contractés auraient effectivement servi à financer les prêts litigieux. Recours rejeté.</w:t>
      </w:r>
    </w:p>
    <w:p>
      <w:pPr>
        <w:pStyle w:val="Heading2"/>
      </w:pPr>
      <w:r>
        <w:t>Erwägungen</w:t>
      </w:r>
    </w:p>
    <w:p>
      <w:r>
        <w:rPr>
          <w:b/>
        </w:rPr>
        <w:t>E. 14</w:t>
      </w:r>
    </w:p>
    <w:p>
      <w:r>
        <w:t>décembre 1990 - LIFD - RS 642.11 ; art. 62 al. 1 let. a de la loi sur la procédure administrative du 12 septembre 1985 - LPA - E 5 10). 2)</w:t>
      </w:r>
    </w:p>
    <w:p>
      <w:r>
        <w:t>Le litige concerne les périodes fiscales 2004 à 2012 tant en matière d’ICC qu’en matière d’IFD. Il convient préalablement d’examiner le droit matériel applicable.</w:t>
      </w:r>
    </w:p>
    <w:p>
      <w:r>
        <w:t>a. De jurisprudence constante, les questions de droit matériel sont résolues par le droit en vigueur au cours des périodes fiscales litigieuses (arrêts du Tribunal fédéral 2C_663/2014 du 25 avril 2015 consid. 4 ; 2C_476/2014 du 21 novembre 2014 consid. 4.1 ; ATA/1017/2015, ATA/1018/2015 et ATA/1019/2015 du 29 septembre 2015). Le rappel d’impôts relevant du droit matériel, le droit applicable obéit aux mêmes règles (arrêts du Tribunal fédéral 2C_663/2014 précité consid. 4 ; 2C_620/2012 du 14 février 2013 consid. 3.1 ; ATA/1017/2015, ATA/1018/2015 et ATA/1019/2015 précités).</w:t>
      </w:r>
    </w:p>
    <w:p>
      <w:r>
        <w:t>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ATA/778/2016 du 13 septembre 2016 consid. 3).</w:t>
      </w:r>
    </w:p>
    <w:p>
      <w:r>
        <w:t>c. Le présent litige porte sur la procédure en rappel et en soustraction d’impôts ouverte en 2014 concernant les périodes fiscales 2004 à 2012.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3)</w:t>
      </w:r>
    </w:p>
    <w:p>
      <w:r>
        <w:t>Sans conclure formellement à son audition, la recourante mentionne le nom d’un témoin dans sa réplique, à savoir Monsieur E______– son mandataire à l’époque des faits –, indiquant que ce dernier aurait précisé en janvier 2015, lors de son entretien dans les locaux de l’AFC-GE, que A______ avait transmis des sommes importantes à ces sociétés sœurs, et qu’il aurait rappelé la nature de l’activité de A______ et les liens entre les soldes créanciers et débiteurs.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w:t>
      </w:r>
    </w:p>
    <w:p>
      <w:r>
        <w:t>Le droit de faire administrer des preuves n’empêche cependant pas le juge de renoncer à l’administration de certaines preuves offertes et de procéder à une</w:t>
      </w:r>
    </w:p>
    <w:p>
      <w:r>
        <w:t>- 11/26 - A/2226/2015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ATA/643/2016 du 26 juillet 2016 et les arrêts cités).</w:t>
      </w:r>
    </w:p>
    <w:p>
      <w:r>
        <w:t>b. Dans la mesure où l’AFC-GE ne conteste pas avoir reçu ces informations de la part de M. E______lors de l’entretien s’étant déroulé dans ses locaux en janvier 2015, la chambre administrative renoncera à procéder à son audition, si tant est qu’il faille comprendre des écritures de la recourante que celle-ci la sollicite.</w:t>
      </w:r>
    </w:p>
    <w:p>
      <w:r>
        <w:t>Par ailleurs, ce fait ne peut aucunement démontrer, comme semble le suggérer la recourante, que l’AFC-GE aurait dû constater, à la lecture des déclarations fiscales de A______, que celle-ci avait transféré des sommes importantes à ses sociétés sœurs. 4)</w:t>
      </w:r>
    </w:p>
    <w:p>
      <w:r>
        <w:t>L'objet du litige est la légalité du rappel d’impôt et la légitimité des diverses reprises effectuées par l'AFC-GE pour les années 2004 à 2012 dans le cadre d'une procédure en rappel et en soustraction d'impôt ouverte en 2014. Il s'agit en d'autres termes de déterminer l'existence ou non de prestations appréciables en argent résultant de l’absence d’intérêts sur prêts accordés par la société intimée à des sociétés apparentées. 5)</w:t>
      </w:r>
    </w:p>
    <w:p>
      <w:r>
        <w:t>Dans un premier grief, la recourante conteste que les conditions d’un rappel d’impôt aient été réalisées lorsque l’ouverture de la procédure de rappel d’impôt a été décidée. 6) a. Les décisions de taxation entrées en force mais inexactes peuvent faire l’objet, à certaines conditions, d’un rappel d’impôt. Lesdites conditions sont réglementées de manière similaire au plan fédéral ou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1ère phr. LHID ; art. 59 al. 1 LPFisc).</w:t>
      </w:r>
    </w:p>
    <w:p>
      <w:r>
        <w:t>En revanche,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même, vu la maxime d’office, si elle renonce à procéder aux investigations nécessaires en raison d’un état de fait déclaré de manière incomplète, le lien de causalité</w:t>
      </w:r>
    </w:p>
    <w:p>
      <w:r>
        <w:t>- 12/26 - A/2226/2015 adéquate entre la déclaration lacunaire et la taxation insuffisante peut être interrompu (Hugo CASANOVA/Claude-Emmanuel DUBEY in Commentaire romand, op. cit., ad art. 151, p. 1813, n. 13).</w:t>
      </w:r>
    </w:p>
    <w:p>
      <w:r>
        <w:t>b. Le rappel d’impôt n’est soumis qu’à des conditions objectives et implique qu’une taxation n’a, à tort, pas été établie ou est restée incomplète, de sorte que la collectivité publique a subi une perte fiscale.</w:t>
      </w:r>
    </w:p>
    <w:p>
      <w:r>
        <w:t>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w:t>
      </w:r>
    </w:p>
    <w:p>
      <w:r>
        <w:t>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w:t>
      </w:r>
    </w:p>
    <w:p>
      <w:r>
        <w:t>- 13/26 - A/2226/2015 12 octobre 2016 consid. 3.7 ; ATA/513/2016 du 14 juin 2016 consid. 4e ; ATA/1017/2015 du 29 septembre 2015 consid. 3d ; Hugo CASANOVA, op. cit., p. 12). À cet égard, le grand nombre de décisions à prendre rend illusoire une vérification de toutes les indications du contribuable (Hugo CASANOVA, op. cit., p. 11).</w:t>
      </w:r>
    </w:p>
    <w:p>
      <w:r>
        <w:t>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(administration fédérale des contributions, Circulaire no 21,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 évaluation des éléments imposables pour laquelle les art. 151 al. 2 LIFD et 53 al. 1 LHID excluent explicitement l’adaptation ultérieure de la taxation (Hugo CASANOVA, op. cit., p. 12). 7)</w:t>
      </w:r>
    </w:p>
    <w:p>
      <w:r>
        <w:t>En l’espèce, la recourante soutient que les comptes présentés auraient aisément permis à l’AFC-GE de constater les soldes débiteurs importants et l’absence d’intérêts leur étant liés : l’autorité intimée aurait selon elle dû s’inquiéter de cette absence d’intérêts et utiliser son pouvoir inquisitoire à cet effet. Elle était d’ailleurs parfaitement informée que la société appartenait à un groupe, le statut fiscal accordé précisant tant la nature de l’activité de la recourante que le « caractère groupe » de cette activité.</w:t>
      </w:r>
    </w:p>
    <w:p>
      <w:r>
        <w:t>S’il est exact que l’AFC-GE avait connaissance, du fait du statut fiscal accordé, du lien étroit de la recourante dans ses opérations avec des sociétés apparentées, cette connaissance ne pouvait pas lui permettre de savoir que la recourante avait octroyé des prêts à ses sociétés sœurs, comme le relève l’autorité intimée. À teneur desdits statuts fiscaux, l’activité de la recourante consistait principalement à refacturer à des clients de sociétés allemandes, hollandaises et anglaises des factures que ces sociétés lui avaient adressées, et non à octroyer des prêts. L’AFC-GE n’avait donc pas à s’interroger sur l’existence de prêts importants. Par ailleurs, aucun des prêts accordés par la recourante à ces sociétés proches ne figuraient dans la rubrique « créances et prêts moyens aux actionnaires, associés et personnes proches (physiques ou morales) » de ses déclarations fiscales. Il n’est dès lors pas surprenant que l’AFC-GE ne se soit pas interrogée sur l’éventuelle perception d’intérêts à ce titre. Enfin, et comme l’a à juste titre retenu le TAPI, les montants déclarés à titre de revenus d’intérêts ont certes été faibles lors de certaines années fiscales, mais ils ont été importants d’autres années. Il n’est dès lors pas question d’ « absence d’intérêts », comme le soutient la recourante. Les déclarations fiscales de la recourante ne contenant</w:t>
      </w:r>
    </w:p>
    <w:p>
      <w:r>
        <w:t>- 14/26 - A/2226/2015 aucune inexactitude flagrante, l’AFC-GE n’avait aucune obligation de procéder à des investigations complémentaires.</w:t>
      </w:r>
    </w:p>
    <w:p>
      <w:r>
        <w:t>À cet égard, et contrairement à ce que soutient la recourante, le fait que l’AFC-CH se soit rendu compte de la situation à la suite d’un contrôle « sporadique » ne signifie aucunement que l’AFC-GE n’aurait pas usé de la diligence requise lors de l’examen des déclarations de la contribuable, au vu des considérations qui précèdent. L’AFC-CH et l’AFC-GE sont deux autorités distinctes, qui agissent dans un cadre légal différent et disposent de moyens différents. Il ressort notamment du dossier que l’AFC-CH a effectué son contrôle dans les locaux de la fiduciaire genevoise de la recourante, et que c’est à cette occasion qu’elle a constaté l’existence de prêts consentis sans intérêts. Elle ne disposait dès lors pas des mêmes informations que l’AFC-GE, qui n’a effectué la taxation que sur la base de la déclaration de la recourante et de ses pièces annexes, insuffisantes pour constater l’existence de prestations appréciables en argent.</w:t>
      </w:r>
    </w:p>
    <w:p>
      <w:r>
        <w:t>Mal fondé, ce grief sera rejeté. 8)</w:t>
      </w:r>
    </w:p>
    <w:p>
      <w:r>
        <w:t>Les conditions permettant de procéder au rappel d’impôt étant réalisées, il convient d’examiner le bien-fondé des diverses reprises effectuées par l’AFC-GE. 9) a. Selon la jurisprudence,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(ATF 98 Ia 22 consid. 2 p. 25 ; arrêt du Tribunal fédéral 2C_277/2008 du 26 septembre 2008 consid. 5.3 ; ATA/57/2014 du 4 février 2014 consid. 3 ; ATA/86/2008 du 26 février 2008 consid. 2a).</w:t>
      </w:r>
    </w:p>
    <w:p>
      <w:r>
        <w:t>b. 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(arrêts du Tribunal fédéral 2C_123/2012 et 2C_124/2012 du 8 août 2012 consid. 7.3 ; 2A.300/2006 du 27 février 2007 consid. 3.3). Certains auteurs jugent qu'il doit y avoir une connexité suffisante (Hugo CASANOVA in Danielle YERSIN/Yves NOËL [éd.], op. cit., n. 7 ad art. 153 ; Hugo CASANOVA, Le rappel d'impôt, RDAF 1999 II 3 p. 17 ; Peter KUBLI, Nachsteuerrecht und Nachsteuerverfahrensrecht mit Nachsteuersicherstellungsrecht erläutert am Zürcher Steuergesetz über die direkten Steuern, 1984, § 17 n. 2 p. 38 ss.; Thomas MEISTER, Rechtsmittelsystem der Steuerharmonisierung, Der Rechtsschutz nach StHG und DBG, 1995, p. 243), d'autres qu'un tel élément n'est pas requis (Klaus A. VALLENDER/Martin E. LOOSER in Martin ZWEIFEL/Peter</w:t>
      </w:r>
    </w:p>
    <w:p>
      <w:r>
        <w:t>- 15/26 - A/2226/2015 ATHANAS [éd.], Kommentar zum schweizerischen Steuerrecht, I/2b, Bundesgesetz über die direkte Bundessteuer [DBG], 2ème éd., 2008, n. 14 ad art. 151).</w:t>
      </w:r>
    </w:p>
    <w:p>
      <w:r>
        <w:t>Le Tribunal fédéral n’a pas tranché la question (arrêts du Tribunal fédéral 2C_123/2012 et 2C_124/2012 du 8 août 2012 consid. 7.3 ; 2A.300/2006 du 27 février 2007 consid. 3.3),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 10) a. Selon l’art. 57 de la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al.1 let. a et b de la loi fédérale sur l’harmonisation des impôts directs des cantons et des communes du 14 décembre 1990 - LHID - RS 642.14).</w:t>
      </w:r>
    </w:p>
    <w:p>
      <w:r>
        <w:t>c. Dans le canton de Genève, en matière d’ICC, le 30 mars 2016 est entrée en vigueur la nouvelle teneur de l’art. 12 de la LIPM, adoptée le 29 janvier 2016 par le Grand Conseil.</w:t>
      </w:r>
    </w:p>
    <w:p>
      <w:r>
        <w:t>La LIPM ne comprend aucune disposition transitoire prévoyant notamment l’application de la nouvelle teneur de son art. 12 aux causes pendantes au moment de son entrée en vigueur. Il sera ainsi fait application des dispositions légales idoines dans leurs teneurs antérieures aux décisions de taxation en cause (ci-après : aLIPM ; ATA/1151/2017 du 2 août 2017 consid. 8c).</w:t>
      </w:r>
    </w:p>
    <w:p>
      <w:r>
        <w:t>Selon l'art. 12 let. a aLIPM, constitue le bénéfice net imposable celui qui résulte du compte de pertes et profits augmenté de certains prélèvement énoncés aux art. 12 let. b à i aLIPM, ainsi que des produits qui n’ont pas été comptabilisés</w:t>
      </w:r>
    </w:p>
    <w:p>
      <w:r>
        <w:t>- 16/26 - A/2226/2015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(ATA/869/2015 du 25 août 2015 ; ATA/337/2013 du 28 mai 2013 et les arrêts cités). 11) a.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ATA/56/2017 du 24 janvier 2017 consid. 4d ; ATA/17/2016 du 12 janvier 2016 consid. 4b).</w:t>
      </w:r>
    </w:p>
    <w:p>
      <w:r>
        <w:t>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w:t>
      </w:r>
    </w:p>
    <w:p>
      <w:r>
        <w:t>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w:t>
      </w:r>
    </w:p>
    <w:p>
      <w:r>
        <w:t>b.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w:t>
      </w:r>
    </w:p>
    <w:p>
      <w:r>
        <w:t>- 17/26 - A/2226/2015 (la société se reconnaît débitrice pour une prestation qu’elle n’a jamais reçue ; Xavier OBERSON, Droit fiscal suisse, 4ème éd., 2012, p. 236).</w:t>
      </w:r>
    </w:p>
    <w:p>
      <w:r>
        <w:t>c.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consid. 4.1 ; arrêt du Tribunal fédéral 2C_1108/2014 du 10 août 2015 consid. 2.3 ATA/433/2016 précité consid. 8c). En conséquence, il n'est pas pertinent que la disproportion d'une prestation soit justifiée par l'intérêt du groupe (ATF 140 II 88 consid. 4.1 et les arrêts cités ; ATA/433/2016 précité consid. 8c).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(ATA/433/2016 précité consid. 6c ; ATA/291/2016 précité consid. 6c).</w:t>
      </w:r>
    </w:p>
    <w:p>
      <w:r>
        <w:t>d. L’obligation du contribuable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associée (Jean-Frédéric MARAIA, Prix de transfert des biens incorporels, thèse, 2008, n. 46 ss). La particularité de ce domaine porte sur la détermination des prix de transfert. En effet, lorsque des entreprises associées entre elles exercent des activités dans différents États et dépendent d’une direction centrale unique, elles peuvent adopter, pour les transactions effectuées à l’intérieur du groupe, des prix de transfert qui s’écartent des prix du marché, dans le but de réduire leur charge fiscale (Xavier OBERSON, Précis de droit fiscal international, 4ème éd., 2014, n. 863 ; Charles CONSTANTIN, Prix de transfert : L’OCDE remet ça…, RDAF 1996 p. 1 ss). Ce risque est pallié par l’application du principe de pleine concurrence, également dénommé arm’s length principle ou Drittvergleich. Ce principe trouve, au niveau international, son fondement juridique à l’art. 9 du Modèle de Convention de double imposition de l’OCDE (Xavier OBERSON, op. cit., 2014, n. 869 ss ; Jean-Frédéric MARAIA, op. cit., n. 62 ; Charles CONSTANTIN, op. cit., n. 2.1).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(ATF 140 II 88 consid. 4 et 5 ; 2C_724/2010 du 27 juillet 2011 consid. 7.1 ; 2C_788/2010 du 18 mai 2011 consid. 4.1 ; Xavier OBERSON, 2009, op. cit., n. 748 s. et n. 755 ss ;</w:t>
      </w:r>
    </w:p>
    <w:p>
      <w:r>
        <w:t>- 18/26 - A/2226/2015 Jean-Frédéric MARAIA, op. cit., n. 64 ; Robert DANON in Danielle YERSIN/ Yves NOËL [éd.], Impôt fédéral direct, Commentaire de la loi sur l’impôt fédéral direct, 2008, ad art. 57-58 n. 107). 12)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 arrêt du Tribunal fédéral 2C_1082/2013 du 14 janvier 2015 consid. 5.2 ; ATA/433/2016 du 24 mai 2016 consid. 8b ; ATA/291/2016 du 5 avril 2016 consid. 6b).</w:t>
      </w:r>
    </w:p>
    <w:p>
      <w:r>
        <w:t>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138 II 57 consid. 2.2 et les références citées in RDAF 2012 II p. 299).</w:t>
      </w:r>
    </w:p>
    <w:p>
      <w:r>
        <w:t>À défaut de transaction comparable, la détermination du prix de pleine concurrence s'effectue alors selon d'autres méthodes, telles que la méthode du coût majoré ou celle du prix de revente qui font partie, à côté de la méthode de la transaction comparable, des méthodes traditionnelles fondées sur les transactions selon la classification opérée par l'OCDE en matière de prix de transfert (OCDE, Principes applicables en matière de prix de transfert à l'intention des entreprises multinationales et des administrations fiscales, 2010, § 2.12 ss).</w:t>
      </w:r>
    </w:p>
    <w:p>
      <w:r>
        <w:t>La méthode du coût majoré consiste en particulier à déterminer les coûts supportés par la société qui fournit la prestation, à quoi s'ajoute une marge appropriée de manière à obtenir un bénéfice approprié compte tenu des fonctions exercées et des conditions du marché (ATF 140 II 88 consid. 4.2 et les références citées). Cette méthode est notamment adéquate pour les biens ou les services pour lesquels il n’existe pas de marché comparable entre entreprises indépendantes (Xavier OBERSON, op. cit., 2014, n. 894).</w:t>
      </w:r>
    </w:p>
    <w:p>
      <w:r>
        <w:t>Sous réserve de cas exceptionnels, la méthode du coût majoré n’est aujourd’hui plus employée pour des services de nature financière ou des fonctions de management, la circulaire n° 4 considérant cette méthode comme inadéquate (ATA/474/2014 du 26 juin 2014 consid. 6c). 13) Lorsqu'une société anonyme accorde un prêt à son actionnaire, ce prêt ne respecte pas le principe de pleine concurrence si le taux d'intérêt appliqué est inférieur au taux du marché ou s'il est accordé sans intérêt. La prestation appréciable en argent se mesure alors par la différence entre le taux d'intérêt</w:t>
      </w:r>
    </w:p>
    <w:p>
      <w:r>
        <w:t>- 19/26 - A/2226/2015 conforme au principe de pleine concurrence et le taux effectivement appliqué (ATF 138 II 545 consid. 3.2 ; arrêts du Tribunal fédéral 2C_788/2010 du</w:t>
      </w:r>
    </w:p>
    <w:p>
      <w:r>
        <w:rPr>
          <w:b/>
        </w:rPr>
        <w:t>E. 18</w:t>
      </w:r>
    </w:p>
    <w:p>
      <w:r>
        <w:t>mai 2011 consid. 4.4 ; 2C_557/2010 du 4 novembre 2010 consid. 3.2.1).</w:t>
      </w:r>
    </w:p>
    <w:p>
      <w:r>
        <w:t>a. L'AFC-CH édicte chaque année des directives sur les taux d'intérêts déterminants pour le calcul des prestations appréciables en argent, publiées sous la forme de lettres-circulaires, destinées à simplifier la mise en œuvre du principe de pleine concurrence en relation avec les taux d'intérêts de prêts conclus en francs suisses entre des sociétés et leurs actionnaires ou associés – ou leurs proches (ATF 140 II 88 consid. 5.1).</w:t>
      </w:r>
    </w:p>
    <w:p>
      <w:r>
        <w:t>b. Les lettres-circulaires concernant les prestations appréciables en francs suisses prévoient des taux d’intérêts déterminants minimums en cas d’avances accordées aux actionnaires ou associés (ou des personnes les touchant de près) (ch. 1) et des taux d’intérêts déterminants maximums en cas d’avances accordées par les actionnaires ou associés (ou leurs proches) (ch. 2). En matière d’avances accordées aux actionnaires ou associés, le ch. 1 distingue deux hypothèses. Si l’avance est financée au moyen de fonds propres et si aucun intérêt n’est dû sur du capital étranger, le taux d’intérêts minimum s’élève à 1.50 % pour l’année 2012, à 2.25 % pour les années 2006, 2010 et 2011, à 2.50 % pour les années 2004, 2005 et 2009, à 2.75 % pour l’années 2007 et à 3.25 % pour l’année 2008 (ch. 1.1). En revanche, si l’avance est financée au moyen de capitaux étrangers, le taux d’intérêts minimum se calcule par référence à la charge d’intérêts due sur ces capitaux étrangers par la société prêteuse, à quoi s’ajoute un pourcentage de 0.5 % ou de 0.25 %, selon que l’avance est inférieure (ou égale) ou supérieure à CHF 10’000’000.-, le taux devant dans tous les cas s’élever au moins au taux prévu au ch. 1.1 (ch. 1.2).</w:t>
      </w:r>
    </w:p>
    <w:p>
      <w:r>
        <w:t>c. Le chiffre 1.2 des lettres-circulaires concernant les prestations appréciables en argent permet de vérifier que l'opération assure à la société de dégager une marge bénéficiaire, puisque le taux d'intérêts minimum du prêt accordé à l'actionnaire ou à l'associé doit être supérieur de 0,25 % ou de 0,5 % au taux d'intérêts payé par la société sur ses propres charges d'intérêts (ATF 140 II 88 consid. 6.2). L'irrespect du taux découlant de l'application du chiffre 1.2 ne crée qu'un indice d'existence de prestation appréciable en argent, le contribuable conservant toujours la possibilité de prouver que le taux inférieur qu'il a appliqué respecte néanmoins le principe de pleine concurrence (ATF 140 II 88 consid. 6.3).</w:t>
      </w:r>
    </w:p>
    <w:p>
      <w:r>
        <w:t>d. Les lettres-circulaires relatives aux prestations appréciables en devises et monnaies étrangères fonctionnent de manière semblable, distinguant entre les avances accordées aux actionnaires ou associés et celles reçues par ces derniers. S’agissant des avances accordées aux actionnaires ou associés, elles prévoient des taux en fonction des devises ou monnaies concernées pour autant qu’elles soient financées au moyen de fonds propres et qu’aucun fonds étranger ne doit être rémunéré, tout en spécifiant que si la société ou coopérative rémunère les</w:t>
      </w:r>
    </w:p>
    <w:p>
      <w:r>
        <w:t>- 20/26 - A/2226/2015 engagements qu’elle détient, les taux applicables aux avances aux actionnaires, associés, coopérateurs ou à des tiers les touchant de près, doivent correspondre à ceux servis sur ces fonds étrangers augmentés d’une marge de 0,5 %, sachant toutefois que les taux appliqués doivent au minimum correspondre à ceux publiés dans la lettre-circulaire (ch. 1).</w:t>
      </w:r>
    </w:p>
    <w:p>
      <w:r>
        <w:t>e. Le Tribunal fédéral a tendance à appliquer dans sa jurisprudence la méthode de la comparaison avec une transaction comparable pour déterminer le taux d'intérêts qui aurait été appliqué à un prêt entre tiers indépendants. Cette méthode est également celle qui est préconisée par l'OCDE lorsque la problématique du prix de transfert concerne un prêt d'argent, au motif qu'elle est aisée à mettre en œuvre dans ce contexte (OCDE, op. cit., § 1.9; ATF 140 II 88 consid. 6.1). 14) a. Faisant partie des instructions et directives internes à l'administration, la lettre-circulaire de l’AFC-CH sur les taux d’intérêts déterminants pour le calcul des prestations appréciables en argent n'appartient pas au droit fédéral. Elle ne lie donc ni le contribuable, ni l'autorité de taxation, ni les tribunaux (ATF 138 II 536 consid. 5.4.3 ; 133 II 305 consid. 8.1 ; arrêts du Tribunal fédéral 2C_116/2013 et 2C_117/2013 du 2 septembre 2013 consid. 3.7.1). Toutefois, dès lors qu'elle tend à une application uniforme et égale du droit, il ne convient de s'en écarter que dans la mesure où elle ne traduit pas une concrétisation convaincante des dispositions légales applicables (arrêts du Tribunal fédéral 2C_95/2011 du 11 octobre 2011 consid. 2.3 = RDAF 2012 II p. 72 ; 2C_103/2009 du 10 juillet 2009 consid. 2.2 = RF 64/2009 p. 906). Plus particulièrement, la lettre- circulaire de l’AFC-CH poursuit un but de simplification : son ch. 1.2 propose en effet une règle simplificatrice aisément praticable, tant à l'attention des contribuables, qui peuvent la suivre et exclure ainsi tout risque de reprise fiscale, qu'à celle des administrations fiscales, qui sont confrontées à une administration de masse (ATF 140 II 88 consid. 6.3).</w:t>
      </w:r>
    </w:p>
    <w:p>
      <w:r>
        <w:t>b. L'application du taux d'intérêts minimum fixe prévu au ch. 1.1 de la lettre-circulaire de l’AFC-CH suppose la réalisation de deux conditions cumulatives : il faut ainsi que le prêt ait été financé au moyen de fonds propres et qu'aucun intérêt ne soit dû par la société prêteuse sur des capitaux étrangers. En conséquence, il suffit qu'il existe des capitaux étrangers portant charge d'intérêts au bilan de la société prêteuse pour que le taux d'intérêts minimum se calcule conformément au ch. 1.2, indépendamment de la question de savoir si ces capitaux étrangers ont effectivement servi à mobiliser les fonds nécessaires à l'octroi du prêt. La lettre-circulaire postule ainsi implicitement que la société prêteuse a financé le prêt accordé à son actionnaire ou associé au moyen d'un emprunt et que pour respecter le principe de pleine concurrence, une telle opération doit conduire à la réalisation d'un bénéfice. C'est la raison pour laquelle le taux d'intérêts minimum se calcule dans ce cas non pas par référence à un taux fixe, comme le prévoit le ch. 1.1, mais par référence aux « propres charges » de la</w:t>
      </w:r>
    </w:p>
    <w:p>
      <w:r>
        <w:t>- 21/26 - A/2226/2015 société prêteuse, à quoi s'ajoute une marge de 0,5 % ou de 0,25 % selon le montant du prêt, de manière à permettre la réalisation d'une marge bénéficiaire (arrêt du Tribunal fédéral 2C_291/2013 précité consid. 6.4, se référant à l'ATF 107 Ib 325).</w:t>
      </w:r>
    </w:p>
    <w:p>
      <w:r>
        <w:t>Il s'agit donc de prendre le coût d'acquisition des fonds étrangers en pourcents, soit les intérêts effectivement payés, et d'y ajouter une marge de 0,5 % ou 0,25 % (mais au total 2,5 % au minimum) pour obtenir le pourcentage minimal que la société doit exiger (en recette) sur le prêt à son actionnaire ; il s'agit d'un taux minimum (ATA/183/2014 du 25 mars 2014 consid. 9c). 15)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ATA/652/2016 du 26 juillet 2016 consid. 3d ; ATA/332/2016 du 19 avril 2016).</w:t>
      </w:r>
    </w:p>
    <w:p>
      <w:r>
        <w:t>b.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w:t>
      </w:r>
    </w:p>
    <w:p>
      <w:r>
        <w:t>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 ATA/17/2016 du 12 janvier 2016 consid. 6e ; ATA/995/2014 du 16 décembre 2014 consid. 6d).</w:t>
      </w:r>
    </w:p>
    <w:p>
      <w:r>
        <w:t>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w:t>
      </w:r>
    </w:p>
    <w:p>
      <w:r>
        <w:t>- 22/26 - A/2226/2015 2A.461/2001 du 21 février 2002 consid. 3.1 ; ATA/562/2015 du 2 juin 2015 consid. 9b ; ATA/201/2014 du 1er avril 2014). 16) En l’espèce, la recourante conteste la manière de procéder de l’AFC-GE et du TAPI : selon elle, il conviendrait d’appliquer le principe de pleine concurrence non seulement pour déterminer les prestations hypothétiquement faites à des sociétés apparentées, mais également pour établir le prix correspondant aux dettes contractées par la société pour être en mesure d’octroyer ces prêts. Elle soutient que la méthode du « prix comparable sur le marché libre », citée par le TAPI, ne pourrait pas s’appliquer au cas d’espèce au motif qu’elle se limiterait à comparer le prix de transfert « externe » sans tenir compte de ce qui constituait le prix de la transaction. Il conviendrait donc, selon la recourante, d’appliquer la méthode du « coût majoré », qui serait « implicitement retenue par la circulaire de l’AFC-CH ».</w:t>
      </w:r>
    </w:p>
    <w:p>
      <w:r>
        <w:t>Son raisonnement ne saurait être suivi.</w:t>
      </w:r>
    </w:p>
    <w:p>
      <w:r>
        <w:t>a. Le TAPI relève en premier lieu que ce grief se heurterait à la jurisprudence constante selon laquelle le rappel d’impôt n’équivaut pas à un nouvel examen de la taxation et que dans le cas d’espèce, les nouveaux éléments ne concernent que les prestations appréciables en argent résultant de l’absence d’intérêts sur les avances effectuées aux sociétés sœurs de la recourante.</w:t>
      </w:r>
    </w:p>
    <w:p>
      <w:r>
        <w:t>Cette position peut être discutée, le Tribunal fédéral n’ayant pas tranché la question de savoir si, pour pouvoir être pris en compte dans la procédure en rappel d'impôt, des faits diminuant la dette fiscale du contribuable doivent avoir une connexité avec les éléments justifiant le rappel, et ce point étant controversé en doctrine.</w:t>
      </w:r>
    </w:p>
    <w:p>
      <w:r>
        <w:t>Cette question peut toutefois souffrir de demeurer indécise en l’espèce, eu égard à ce qui suit.</w:t>
      </w:r>
    </w:p>
    <w:p>
      <w:r>
        <w:t>b. La recourante prône l’application de la méthode du « coût majoré » en lieu et place de celle du « coût comparable » au motif que la première permettrait de prendre en considération le coût des fonds prêtés par la recourante.</w:t>
      </w:r>
    </w:p>
    <w:p>
      <w:r>
        <w:t>Toutefois, elle indique avoir dû emprunter des fonds pour être en mesure d’octroyer des prêts à des sociétés proches, mais elle reconnaît ne pas avoir payé d’intérêts pour ces emprunts. Elle ne peut dès lors prétendre à la déduction d’intérêts fictifs dont elle n’a pas eu à s’acquitter, ce qu’a également retenu le TAPI. S’agissant d’éléments venant réduire son obligation fiscale, il lui appartenait de prouver avoir versé lesdits intérêts pour prétendre à leur prise en considération par l’autorité intimée.</w:t>
      </w:r>
    </w:p>
    <w:p>
      <w:r>
        <w:t>La recourante se fonde sur l’ATF 140 II 88 pour soutenir que le Tribunal fédéral aurait « confirmé le lien qui existe entre les fonds prêtés et ceux qui sont</w:t>
      </w:r>
    </w:p>
    <w:p>
      <w:r>
        <w:t>- 23/26 - A/2226/2015 disponibles à cette fin ». Or, au considérant n° 6 cité par la recourante, le Tribunal fédéral a uniquement expliqué les raisons pour lesquelles la circulaire de l’AFC-CH fait une distinction entre les prêts financés au moyen de fonds propres et les prêts financés au moyen de fonds étrangers : si la société présente à son bilan des capitaux étrangers portant charge d’intérêts, le prêt octroyé à son actionnaire ou associé doit conduire à la réalisation d’un bénéfice, ce qui justifie l’application d’un taux d’intérêts plus élevé que si le prêt est financé au moyen de ses propres fonds. L’on ne peut déduire de cet arrêt qu’il conviendrait de « prendre en compte les fonds étrangers dans la formation de la marge d’intérêt éventuellement applicable », comme le soutient la recourante.</w:t>
      </w:r>
    </w:p>
    <w:p>
      <w:r>
        <w:t>Par surabondance, il sied de relever que la recourante n’apporte aucune preuve à l’appui de ses allégations selon lesquelles les emprunts qu’elle a contractés auraient effectivement servi à financer les prêts litigieux. Or, ces emprunts pourraient tout autant avoir servi à financer d’autres activités de la société.</w:t>
      </w:r>
    </w:p>
    <w:p>
      <w:r>
        <w:t>c. Au vu de ce qui précède, c’est à juste titre que l’autorité intimée, suivie par le TAPI, a considéré que les prêts sans intérêts octroyés par la recourante à des sociétés sœurs constituaient des prestations appréciables en argent. Le droit fiscal ne permettant pas de tenir compte des relations existant entre sociétés d’un même groupe, les opérations entre sociétés d’un groupe doivent intervenir comme si elles étaient effectuées avec des tiers dans un environnement de libre concurrence. En l’espèce, la recourante n’a pas réclamé d’intérêts pour les prêts qu’elle a octroyés et n’en a pas payés sur les sommes qui lui ont été prêtées. Or, elle ne peut maintenant, par une opération comptable ne correspondant pas à la réalité, chercher à présenter les faits à son avantage en invoquant des charges qu’elle n’a pas effectivement supportées.</w:t>
      </w:r>
    </w:p>
    <w:p>
      <w:r>
        <w:t>Il sied enfin de relever que si l’activité de « factoring » implique effectivement, comme le soutient la recourante, des balances débitrices et créditrices, il n’en demeure pas moins qu’il lui appartenait de facturer des intérêts aux prêts qu’elle a octroyés aux sociétés du même groupe, et de prouver avoir effectivement payé des intérêts sur les prêts contractés pour pouvoir éventuellement en demander la prise en considération d’un point de vue fiscal.</w:t>
      </w:r>
    </w:p>
    <w:p>
      <w:r>
        <w:t>Mal fondé, ce grief sera écarté. 17) La recourante allègue, sans développer cette question, que le raisonnement de l’AFC-GE la priverait d’obtenir une taxation équitable et proportionnelle à sa capacité contributive.</w:t>
      </w:r>
    </w:p>
    <w:p>
      <w:r>
        <w:t>Ce grief se confond avec ceux déjà examinés. En effet, les règles correctrices fiscales figurant à l’art. 58 al. 1 let. b et c LIFD visent précisément à compenser le fait que le résultat comptable d’une société puisse s’éloigner de la</w:t>
      </w:r>
    </w:p>
    <w:p>
      <w:r>
        <w:t>- 24/26 - A/2226/2015 réalité économique ; elles assurent une imposition du bénéfice qui tienne compte au mieux de la réelle situation patrimoniale d’une société (ATA/174/2016 du</w:t>
      </w:r>
    </w:p>
    <w:p>
      <w:r>
        <w:rPr>
          <w:b/>
        </w:rPr>
        <w:t>E. 23</w:t>
      </w:r>
    </w:p>
    <w:p>
      <w:r>
        <w:t>février 2016 consid. 8 ; Pierre-Marie GLAUSER, Apports et impôt sur le bénéfice, vol. 2, 2005, p. 96 s.).</w:t>
      </w:r>
    </w:p>
    <w:p>
      <w:r>
        <w:t>Ce grief sera dès lors écarté. 18) Contrairement aux conclusions prises devant le TAPI, la recourante ne conteste plus la quotité des amendes prononcées, se contentant de soutenir que les amendes devraient être annulées dès lors que les conditions pour un rappel d’impôt ne seraient pas remplies. Seul le principe des amendes et non leur quotité demeure dès lors contesté.</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 À teneur de l’art. 175 al. 2 LIFD et des art. 56 al. 1 LHID et 69 al. 2 LPFisc, l’amende est en règle générale équivalente au montant soustrait. Elle peut être réduite jusqu’au tiers de ce montant si la faute est légère et au triple de celui-ci en cas de faute grave.</w:t>
      </w:r>
    </w:p>
    <w:p>
      <w:r>
        <w:t>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SANSONETTI/ Danielle HOSTETTLER, in Yves NOËL/Florence AUBRY GIRARDIN [éd.], op. cit., ad art. 175 LIFD, p. 1986 n. 7 ss ; Xavier OBERSON, Droit fiscal suisse, 4ème éd., 2012, p. 586 ss n. 15 ss).</w:t>
      </w:r>
    </w:p>
    <w:p>
      <w:r>
        <w:t>b. Sur le plan subjectif,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p.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Le fait que le contribuable ait obtenu de faux renseignements de la part d'une fiduciaire mandatée par lui ne joue pas de rôle</w:t>
      </w:r>
    </w:p>
    <w:p>
      <w:r>
        <w:t>- 25/26 - A/2226/2015 dans la détermination de la négligence (Pietro SANSONETTI/Danielle HOSTETTLER, op. cit., ad art. 175 LIFD, p. 1993 n. 38). Si le contribuable a des doutes sur ses droits ou obligations, il doit faire en sorte de lever ce doute ou, au moins, en informer l’autorité fiscale (ATF 135 II 86 consid. 4.3 ; ATA/907/2016 du 25 octobre 2016). La négligence implique de porter un jugement sur le comportement de l’auteur, en se demandant ce qu’il aurait pu et dû faire, et non de rechercher ce qu’il avait à l’esprit (ATA/907/2016 précité ).</w:t>
      </w:r>
    </w:p>
    <w:p>
      <w:r>
        <w:t>c.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(ATF 135 II 86 consid. 4.2).</w:t>
      </w:r>
    </w:p>
    <w:p>
      <w:r>
        <w:t>d. En l’espèce, comme l’a à juste titre retenu le TAPI, la recourante a transmis à l’AFC-GE des déclarations fiscales incorrectes : elle a contrevenu à ses obligations en ne comptabilisant pas des revenus, engendrant ainsi une irrégularité dans sa comptabilité, si bien qu’une soustraction a été commise. Si ses organes, qui connaissaient l’existence de prêts octroyés à des sociétés sœurs, avaient usé des précautions commandées par les circonstances, ils auraient comptabilisé et déclaré les intérêts correspondant à ces prêts. La faute de la recourante a engendré un dommage pour la collectivité équivalant au montant des reprises, de sorte que la condition de la soustraction d’impôt est remplie.</w:t>
      </w:r>
    </w:p>
    <w:p>
      <w:r>
        <w:t>S’agissant de la quotité des amendes, qui n’est plus contestée, l’AFC-GE, suivie par le TAPI, a retenu que la recourante avait été négligente. En fixant l’amende à la moitié de l’impôt soustrait, l’AFC-GE n’a pas mésusé de son pouvoir d’appréciation. Proche du minimum prévu par la loi, cette quotité prend en compte les circonstances du cas d’espèce, la recourante n’invoquant aucun autre élément qui devrait être pris en compte dans la fixation des amendes. Celles-ci n’apparaissent donc pas disproportionnées. 19) Entièrement mal fondé, le recours sera rejeté. 20) Vu l'issue du litige, un émolument de CHF 1'000.- sera mis à la charge de la recourante, qui succombe (art. 87 al. 1 LPA), et aucune indemnité de procédure ne lui sera allouée (art. 87 al. 2 LPA).</w:t>
      </w:r>
    </w:p>
    <w:p>
      <w:r>
        <w:t>* * * * *</w:t>
      </w:r>
    </w:p>
    <w:p>
      <w:r>
        <w:t>- 26/26 - A/2226/2015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