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ATA/1413/2017 vom 17. Oktober 2017</w:t>
      </w:r>
    </w:p>
    <w:p>
      <w:r>
        <w:t>GE Cour de justice, 2017-10-17, FR</w:t>
      </w:r>
    </w:p>
    <w:p>
      <w:r>
        <w:rPr>
          <w:b/>
        </w:rPr>
        <w:t xml:space="preserve">Quelle: </w:t>
      </w:r>
      <w:r>
        <w:t>https://mcp.opencaselaw.ch/entscheid/ge_gerichte_ATA_1413_2017</w:t>
      </w:r>
    </w:p>
    <w:p>
      <w:r>
        <w:t>FR: GE_GERICHTE ATA/1413/2017 du 17 octobre 2017</w:t>
      </w:r>
    </w:p>
    <w:p>
      <w:r>
        <w:t>IT: GE_GERICHTE ATA/1413/2017 del 17 ottobre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- 5/10 - A/3148/2016</w:t>
      </w:r>
    </w:p>
    <w:p>
      <w:r>
        <w:t>L’art. 30 al. 1 let. b LEtr permet de déroger aux conditions d’admission en Suisse, telles que prévues aux art. 18 à 29 LEtr, notamment aux fins de tenir compte des cas individuels d’une extrême gravité ou d’intérêts publics majeurs.</w:t>
      </w:r>
    </w:p>
    <w:p>
      <w:r>
        <w:t>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doivent impérativement être respectés (SEM, Directives et commentaire, Domaine des étrangers, 2013, état au 12 avril 2017, ch. 5.6.12).</w:t>
      </w:r>
    </w:p>
    <w:p>
      <w:r>
        <w:t>Les dispositions dérogatoires des art. 30 LEtr et 31 OASA présentent un caractère exceptionnel (ATF 128 II 200 et les références citées).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et les références citées ; SEM, op. cit., ch. 5.6.1).</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(ATF 130 II 39 consid. 3 ; 124 II 110 consid. 3 ; arrêt du Tribunal fédéral 2A_718/2006 du 21 mars 2007 consid. 3).</w:t>
      </w:r>
    </w:p>
    <w:p>
      <w:r>
        <w:t>Par ailleurs, la durée du séjour en Suisse doit être examinée à la lumière de l’ensemble des circonstances du cas particulier et être relativisée lorsque l’étranger a séjourné en Suisse de manière illégale, sous peine de récompenser l’obstination à violer la loi (ATF 130 II 39 consid. 3).</w:t>
      </w:r>
    </w:p>
    <w:p>
      <w:r>
        <w:t>Dans la procédure d’exemption des mesures de limitation, seules des raisons exclusivement humanitaires sont déterminantes, ce qui n’exclut toutefois pas de prendre en compte les difficultés rencontrées par le requérant à son retour dans</w:t>
      </w:r>
    </w:p>
    <w:p>
      <w:r>
        <w:t>- 6/10 - A/3148/2016 son pays d’un point de vue personnel, familial et économique (ATF 123 II 125 consid. 3 ; ATA/828/2016 précité consid. 6e).</w:t>
      </w:r>
    </w:p>
    <w:p>
      <w:r>
        <w:rPr>
          <w:b/>
        </w:rPr>
        <w:t>E. 3</w:t>
      </w:r>
    </w:p>
    <w:p>
      <w:r>
        <w:t>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Toutefois,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rPr>
          <w:b/>
        </w:rPr>
        <w:t>E. 4</w:t>
      </w:r>
    </w:p>
    <w:p>
      <w:r>
        <w:t>En l'espèce, il n'est pas contesté que le recourant est bien intégré en Suisse et qu'il maîtrise bien le français.</w:t>
      </w:r>
    </w:p>
    <w:p>
      <w:r>
        <w:t>Cela étant, ces éléments ne permettent pas de retenir que son intégration présenterait un caractère si exceptionnel qu'ils justifieraient à eux seuls l'octroi d'une autorisation de séjour.</w:t>
      </w:r>
    </w:p>
    <w:p>
      <w:r>
        <w:t>D'une part, et contrairement à ce qu'il soutient, le recourant n'a pas vécu sans discontinuité en Suisse depuis 1999. Sa demande d'asile ayant été refusée, il a quitté la Suisse en juillet 2000 et est revenu en 2005. Malgré son refoulement et l'interdiction d'entrée en Suisse prononcée le 30 novembre 2005, il y est revenu, au mois de février 2006, selon ses propres indications données à l'OCPM ainsi qu'à la police. Son séjour en Suisse entre 2006 et 2008 n'a cependant pas été établi. L'affiliation à compter du 1er juin 2000 auprès d'une assurance-maladie ne constitue pas un indice suffisant pour retenir la présence continue en Suisse du recourant entre février 2006 et juillet 2008. En outre, l'extrait de son décompte individuel fait état de cotisations à l'AVS en 1999 et 2000, ainsi qu’entre juillet 2008 et novembre 2011. Depuis le dépôt de sa demande de permis le 15 septembre 2014, le recourant n'est, par ailleurs, qu'au bénéfice d'une simple tolérance cantonale. Ainsi, il convient de relativiser la durée du séjour en Suisse du recourant, celui-ci ayant séjourné en Suisse pour l'essentiel dans l'illégalité.</w:t>
      </w:r>
    </w:p>
    <w:p>
      <w:r>
        <w:t>D'autre part, le recourant ne peut prétendre que son comportement en Suisse aurait toujours été irréprochable. En effet, il a fait l'objet en novembre 2016 d'une condamnation par ordonnance pénale pour avoir employé une personne dépourvue d'une autorisation de travailler en Suisse.</w:t>
      </w:r>
    </w:p>
    <w:p>
      <w:r>
        <w:t>- 7/10 - A/3148/2016</w:t>
      </w:r>
    </w:p>
    <w:p>
      <w:r>
        <w:t>Par ailleurs, il ne peut être considéré que l'entreprise individuelle dans le domaine du bâtiment qu'il a créée en 2016 représenterait un intérêt économique tel pour le canton ou la Confédération qu'il justifierait le maintien en Suisse du recourant. Si aucun élément au dossier ne permet de douter de ses compétences professionnelles, il n'apparaît pas que son entreprise proposerait des prestations spécifiques qu'aucune autre entreprise de la place ne pourrait offrir.</w:t>
      </w:r>
    </w:p>
    <w:p>
      <w:r>
        <w:t>En outre, le recourant est appelé à retourner dans son pays d'origine, dans lequel il a grandi, dont il maîtrise la langue, et où se trouvent son épouse et ses enfants, à qui il a rendu visite chaque année environ un mois et demi. Il pourra par ailleurs valoriser son expérience professionnelle, son esprit d'entrepreneur et ses compétences linguistiques. Sa réintégration dans son pays devrait ainsi se dérouler sans difficultés ; le recourant ne soutient d'ailleurs plus le contraire.</w:t>
      </w:r>
    </w:p>
    <w:p>
      <w:r>
        <w:t>Au vu de l'ensemble de ce qui précède, la situation du recourant ne présente pas les caractéristiques d'un cas d'extrême gravité justifiant l'octroi par dérogation d'une autorisation de séjour. L'autorité intimée n'a ainsi pas abusé de son pouvoir d'appréciation en refusant celle-ci.</w:t>
      </w:r>
    </w:p>
    <w:p>
      <w:r>
        <w:t>Enfin, aucun élément au dossier n'indique que le renvoi du recourant se révélerait impossible, illicite ou inexigible au sens de l'art. 83 LEtr, ce que celui-ci n'allègue au demeurant pas.</w:t>
      </w:r>
    </w:p>
    <w:p>
      <w:r>
        <w:t>Partant, le recours sera rejeté.</w:t>
      </w:r>
    </w:p>
    <w:p>
      <w:r>
        <w:rPr>
          <w:b/>
        </w:rPr>
        <w:t>E. 5</w:t>
      </w:r>
    </w:p>
    <w:p>
      <w:r>
        <w:t>Vu l’issue du litige, un émolument de CHF 400.- sera mis à la charge du recourant qui succombe (art. 87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