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ATA/140/2019 vom 13. Februar 2019</w:t>
      </w:r>
    </w:p>
    <w:p>
      <w:r>
        <w:t>GE Cour de justice, 2019-02-13, FR</w:t>
      </w:r>
    </w:p>
    <w:p>
      <w:r>
        <w:rPr>
          <w:b/>
        </w:rPr>
        <w:t xml:space="preserve">Quelle: </w:t>
      </w:r>
      <w:r>
        <w:t>https://mcp.opencaselaw.ch/entscheid/ge_gerichte_ATA_140_2019</w:t>
      </w:r>
    </w:p>
    <w:p>
      <w:r>
        <w:t>FR: GE_GERICHTE ATA/140/2019 du 13 février 2019</w:t>
      </w:r>
    </w:p>
    <w:p>
      <w:r>
        <w:t>IT: GE_GERICHTE ATA/140/2019 del 13 febbraio 2019</w:t>
      </w:r>
    </w:p>
    <w:p>
      <w:pPr>
        <w:pStyle w:val="Heading2"/>
      </w:pPr>
      <w:r>
        <w:t>Regeste</w:t>
      </w:r>
    </w:p>
    <w:p>
      <w:r>
        <w:t>Résumé: La notification d'une décision par courrier A Plus est admise par la jurisprudence. Toutefois et dans le cas d'espèce, compte tenu des nombreux incidents qu'a connus le recourant avec sa case postale, il n'est pas exclu que le courrier A Plus contenant la décision attaquée n'ait pas été distribué dans la case postale le jour où ledit courrier a été scanné par l'employé de la Poste. Par ailleurs, l'art. 33 al. 2 RIO-UNIGE, par renvoi de l'art. 11 RE ECAV, prévoit que l'autorité qui statue sur opposition communique sa décision par lettre recommandée. Le recourant ne peut pas justifier sa demande de récusation au motif que la personne visée a, dans le cadre d'une procédure judiciaire antérieure, fait valoir une prise de position qui allait à l'encontre de son argumentation. Quant à la seconde personne visée par la demande de récusation, celle-ci n'intervient pas dans le cadre du processus décisionnel relatif aux modalités des examens et à leur notation. En tout état de cause, les motifs sur lesquels le recourant fondait sa demande de récusation lui étaient connus plusieurs mois avant qu'il s'en prévale. Il est ainsi forclos. Recours rejeté.</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36 al. 1 du règlement relatif à la procédure d'opposition au sein de l’Université de Genève du 16 mars 2009 - RIO - UNIGE, par renvoi des art. 25 al. 3 du règlement d’application de la loi sur la profession d’avocat du 7 décembre 2010 - RPAv - E 6 10.01 et art. 11 du règlement d’études de l’ECAV en vigueur dès le 21 février 2011 - RE ECAV).</w:t>
      </w:r>
    </w:p>
    <w:p>
      <w:r>
        <w:rPr>
          <w:b/>
        </w:rPr>
        <w:t>E. 2</w:t>
      </w:r>
    </w:p>
    <w:p>
      <w:r>
        <w:t>a. Selon l'art. 62 al. 1 let. b de la loi sur la procédure administrative du 12 septembre 1985 (LPA - E 5 10), par renvoi de l'art. 49 LPAv, le délai de recours est de dix jours s’il s’agit d’une autre décision.</w:t>
      </w:r>
    </w:p>
    <w:p>
      <w:r>
        <w:t>b. L'art. 46 LPA prévoit que les décisions doivent être désignées comme telles, motivées et signées, et indiquer les voies et délais de recours (al. 1 1ère phr.). Les décisions sont notifiées aux parties, le cas échéant à leur domicile élu auprès de leur mandataire, par écrit (al. 2 1ère phr.). Une notification irrégulière ne peut entraîner aucun préjudice pour les parties (art. 47 LPA).</w:t>
      </w:r>
    </w:p>
    <w:p>
      <w:r>
        <w:t>c. À teneur de l’art. 17 al. 1 LPA, les délais commencent à courir le lendemain de leur communication ou de l’événement qui les déclenche.</w:t>
      </w:r>
    </w:p>
    <w:p>
      <w:r>
        <w:t>Le fardeau de la preuve de la notification d’un acte et de sa date incombe en principe à l’autorité qui entend en tirer une conséquence juridique (ATF 129 I 8 consid. 2.2 ; arrêt du Tribunal fédéral 1C_634/2015 du 26 avril 2016 consid. 2.1 ; ATA/725/2018 du 10 juillet 2018 consid. 2a ; Benoît BOVAY, Procédure administrative, 2ème éd., 2015, p. 529).</w:t>
      </w:r>
    </w:p>
    <w:p>
      <w:r>
        <w:t>d.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w:t>
      </w:r>
    </w:p>
    <w:p>
      <w:r>
        <w:t>- 11/19 - A/3786/2018 « Courrier A Plus (A+) – La transparence tout au long du processus d’expédition » consulté le</w:t>
      </w:r>
    </w:p>
    <w:p>
      <w:r>
        <w:rPr>
          <w:b/>
        </w:rPr>
        <w:t>E. 4</w:t>
      </w:r>
    </w:p>
    <w:p>
      <w:r>
        <w:t>Le recourant soutient que M. C______ et Mme B______ auraient dû se récuser compte tenu de leurs différentes décisions ayant notamment conduit à l'ATA/598/2018 précité (cause A/957/2018) et de la prise de position du 18 avril 2018 dans le cadre de cette procédure.</w:t>
      </w:r>
    </w:p>
    <w:p>
      <w:r>
        <w:t>a.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w:t>
      </w:r>
    </w:p>
    <w:p>
      <w:r>
        <w:t>- 14/19 - A/3786/2018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1er décembre 2015 consid. 3.1 ; 1C_442/2011 du 6 mars 2012 consid. 2.1).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ATA/251/2018 du 20 mars 2018 consid. 7a ; ATA/404/2016 du 10 mai 2016 consid. 4).</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 ATA/251/2018 précité consid. 7b).</w:t>
      </w:r>
    </w:p>
    <w:p>
      <w:r>
        <w:t>c. La notion de « membres d’une autorité administrative » comprend aussi bien ceux ayant une voix consultative que ceux pouvant prendre part au vote (arrêt du Tribunal fédéral 1P.416/2006 du 29 mars 2007 consid. 2.2 ; ATA/107/2018 du</w:t>
      </w:r>
    </w:p>
    <w:p>
      <w:r>
        <w:rPr>
          <w:b/>
        </w:rPr>
        <w:t>E. 6</w:t>
      </w:r>
    </w:p>
    <w:p>
      <w:r>
        <w:t>Vu l'issue du litige, un émolument de CHF 400.- sera mis à la charge du recourant qui succombe (art. 87 al. 1 LPA). Aucune indemnité de procédure ne sera allouée (art. 87 al. 2 LPA).</w:t>
      </w:r>
    </w:p>
    <w:p>
      <w:r>
        <w:t>* * * * *</w:t>
      </w:r>
    </w:p>
    <w:p>
      <w:r>
        <w:t>- 18/19 - A/3786/2018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