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ATA/140/2008 vom 13. März 2008</w:t>
      </w:r>
    </w:p>
    <w:p>
      <w:r>
        <w:t>GE Cour de justice, 2008-03-13, FR</w:t>
      </w:r>
    </w:p>
    <w:p>
      <w:r>
        <w:rPr>
          <w:b/>
        </w:rPr>
        <w:t xml:space="preserve">Quelle: </w:t>
      </w:r>
      <w:r>
        <w:t>https://mcp.opencaselaw.ch/entscheid/ge_gerichte_ATA_140_2008</w:t>
      </w:r>
    </w:p>
    <w:p>
      <w:r>
        <w:t>FR: GE_GERICHTE ATA/140/2008 du 13 mars 2008</w:t>
      </w:r>
    </w:p>
    <w:p>
      <w:r>
        <w:t>IT: GE_GERICHTE ATA/140/2008 del 13 marzo 2008</w:t>
      </w:r>
    </w:p>
    <w:p>
      <w:pPr>
        <w:pStyle w:val="Heading2"/>
      </w:pPr>
      <w:r>
        <w:t>Erwägungen</w:t>
      </w:r>
    </w:p>
    <w:p>
      <w:r>
        <w:rPr>
          <w:b/>
        </w:rPr>
        <w:t>E. 1</w:t>
      </w:r>
    </w:p>
    <w:p>
      <w:r>
        <w:t>La question de savoir en quelle qualité M. C______ intervient dans le cadre de la présente procédure peut demeurer ouverte, car, même s’il n’a pas le pouvoir de représenter Mme K______ ni la compétence professionnelle de le faire, celle-ci a contresigné le courrier du 24 mars 2008.</w:t>
      </w:r>
    </w:p>
    <w:p>
      <w:r>
        <w:rPr>
          <w:b/>
        </w:rPr>
        <w:t>E. 2</w:t>
      </w:r>
    </w:p>
    <w:p>
      <w:r>
        <w:t>Selon l’article 7 alinéa 4 lettre f de la loi d’application de la loi fédérale sur le séjour et l’établissement des étrangers du 16 juin 1988 (LaSEE - F 2 10), la CCRPE est compétente pour statuer sur des demandes de levée détention que l’étranger peut déposer en tout temps.</w:t>
      </w:r>
    </w:p>
    <w:p>
      <w:r>
        <w:t>Si, dans le courrier contresigné par Mme K______, il est fait mention d’un recours adressé par cette dernière au Tribunal administratif contre la décision de la CCRPE confirmant l’ordre de mise en détention administrative pris à son encontre le 12 mars 2008, le tribunal de céans n’est à ce jour saisi d’aucun recours et les termes clairs dudit courrier font état uniquement d’une demande de mise en liberté. Il s’ensuit que cette requête est de la compétence de la CCRPE à laquelle elle sera transmise en application de l’article 64 alinéa 2 de la loi sur la procédure administrative du 12 septembre 1985 (LPA - E 5 10), sans autre acte d’instruction (art. 72 LPA).</w:t>
      </w:r>
    </w:p>
    <w:p>
      <w:r>
        <w:rPr>
          <w:b/>
        </w:rPr>
        <w:t>E. 3</w:t>
      </w:r>
    </w:p>
    <w:p>
      <w:r>
        <w:t>Au vu de ce qui précède, la demande de mise en liberté présentée par Mme K______ sera déclarée irrecevable.</w:t>
      </w:r>
    </w:p>
    <w:p>
      <w:r>
        <w:t>Vu l’issue du litige, aucun émolument ne sera perçu (art. 87 LPA).</w:t>
      </w:r>
    </w:p>
    <w:p>
      <w:r>
        <w:t>* * * * *</w:t>
      </w:r>
    </w:p>
    <w:p>
      <w:r>
        <w:t>- 3/3 - A/966/2008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