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ATA/1406/2019 vom 19. September 2019</w:t>
      </w:r>
    </w:p>
    <w:p>
      <w:r>
        <w:t>GE Cour de justice, 2019-09-19, FR</w:t>
      </w:r>
    </w:p>
    <w:p>
      <w:r>
        <w:rPr>
          <w:b/>
        </w:rPr>
        <w:t xml:space="preserve">Quelle: </w:t>
      </w:r>
      <w:r>
        <w:t>https://mcp.opencaselaw.ch/entscheid/ge_gerichte_ATA_1406_2019</w:t>
      </w:r>
    </w:p>
    <w:p>
      <w:r>
        <w:t>FR: GE_GERICHTE ATA/1406/2019 du 19 septembre 2019</w:t>
      </w:r>
    </w:p>
    <w:p>
      <w:r>
        <w:t>IT: GE_GERICHTE ATA/1406/2019 del 19 settembre 2019</w:t>
      </w:r>
    </w:p>
    <w:p>
      <w:pPr>
        <w:pStyle w:val="Heading2"/>
      </w:pPr>
      <w:r>
        <w:t>Erwägungen</w:t>
      </w:r>
    </w:p>
    <w:p>
      <w:r>
        <w:rPr>
          <w:b/>
        </w:rPr>
        <w:t>E. 12</w:t>
      </w:r>
    </w:p>
    <w:p>
      <w:r>
        <w:t>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253-420, 265). Par ailleurs, l'octroi de mesures provisionnelles présuppose l'urgence, à savoir que le</w:t>
      </w:r>
    </w:p>
    <w:p>
      <w:r>
        <w:t>- 10/12 - A/4487/2018 refus de les ordonner crée pour l'intéressé la menace d'un dommage difficile à réparer (ATF 130 II 149 consid. 2.2 ; 127 II 132 consid. 3 = RDAF 2002 I 405).</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3)</w:t>
      </w:r>
    </w:p>
    <w:p>
      <w:r>
        <w:t>La procédure en matière d'exécution forcée d'une somme d'argent est pour l'essentiel réglée par la LP, que le créancier soit un particulier ou une entité publique.</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Il peut de même être porté plainte en tout temps pour déni de justice ou retard non justifié (art. 17 al. 3 LP). Toute décision de l'autorité inférieure peut être déférée à l'autorité cantonale supérieure de surveillance dans les dix jours à compter de sa notification (art. 18 al. 1 LP). La plainte, l'appel et le recours ne suspendent la décision que s'il en est ainsi ordonné par l'autorité appelée à statuer ou par son président ; les parties sont informées immédiatement de la suspension (art. 36 LP).</w:t>
      </w:r>
    </w:p>
    <w:p>
      <w:r>
        <w:t>Plus spécifiquement, celui dont les droits sont touchés par un séquestre peut former opposition auprès du juge dans les dix jours à compter de celui où il en a eu connaissance (art. 278 al. 1 LP).</w:t>
      </w:r>
    </w:p>
    <w:p>
      <w:r>
        <w:t>Les cantons désignent les autorités judiciaires chargées de statuer dans les matières dont la LP attribue la connaissance au juge (art. 23 LP). À Genève, la fonction d’autorité cantonale de surveillance au sens de l'art. 13 LP est exercée par la chambre de surveillance ; art. 6 al. 1 de la loi d’application de la LP du 29 janvier 2010 - LaLP - E 3 60). 4)</w:t>
      </w:r>
    </w:p>
    <w:p>
      <w:r>
        <w:t>Par ailleurs, le recours à la chambre administrative est en principe ouvert contre les décisions des autorités et juridictions administratives au sens des art. 4, 4A, 5, 6, al. 1, let. a et e, et 57 LPA ; sont réservées les exceptions prévues par la loi (art. 132 al. 2 de la loi sur l’organisation judiciaire du 26 septembre 2010 - LOJ - E 2 05). Le recours à la chambre administrative n’est en revanche pas recevable contre les décisions pour lesquelles le droit fédéral ou une loi cantonale prévoit une autre voie de recours (art. 132 al. 8 LOJ). 5)</w:t>
      </w:r>
    </w:p>
    <w:p>
      <w:r>
        <w:t>En l'espèce, les recourants concluent, sur mesures provisionnelles, à ce que la chambre administrative fasse interdiction à l'OP de prendre quelque mesure que ce soit à leur encontre s'agissant de diverses saisies.</w:t>
      </w:r>
    </w:p>
    <w:p>
      <w:r>
        <w:t>- 11/12 - A/4487/2018</w:t>
      </w:r>
    </w:p>
    <w:p>
      <w:r>
        <w:t>Cependant, ils ne discutent pas la compétence de la chambre de céans de procéder à de telles mesures à l’égard de l'OP, et n'indiquent en particulier pas quelle base légale fonderait ladite compétence, ce alors que la LP et ses lois cantonales d'application prévoient un contentieux distinct de la voie administrative ordinaire – procédure spécifique, sui generis, de plainte et de recours ainsi que diverses actions devant les tribunaux civils – s'agissant de l'exécution forcée de sommes d'argent, et que la chambre de surveillance a été saisie de requêtes d'effet suspensif concernant les saisies litigieuses, et a rejeté lesdites requêtes, le contentieux y relatif étant actuellement pendant devant le Tribunal fédéral.</w:t>
      </w:r>
    </w:p>
    <w:p>
      <w:r>
        <w:t>La chambre de céans n'a d'ailleurs jamais pris de mesures provisionnelles visant l'OP, lequel n'est du reste pas partie à la présente procédure.</w:t>
      </w:r>
    </w:p>
    <w:p>
      <w:r>
        <w:t>Il résulte de ce qui précède que la cambre de céans n'est pas compétente pour prononcer les mesures provisionnelles sollicitées, qu'elle déclarera donc irrecevables. 6)</w:t>
      </w:r>
    </w:p>
    <w:p>
      <w:r>
        <w:t>Le sort des frais sera réservé jusqu'à droit jugé au fond. Par ces motifs, LA CHAMBRE ADMINISTRATIVE déclare irrecevable la demande de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Michel Cabaj et Thierry Ador, avocats des recourants, à l'administration fiscale cantonale, à l’administration fédérale des contributions ainsi qu’au Tribunal administratif de première instance.</w:t>
      </w:r>
    </w:p>
    <w:p>
      <w:r>
        <w:t>- 12/12 - A/4487/2018</w:t>
      </w:r>
    </w:p>
    <w:p>
      <w:r>
        <w:t>La vice-présidente :</w:t>
      </w:r>
    </w:p>
    <w:p>
      <w:r>
        <w:t>F. Krauskopf</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