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ATA/1401/2021 vom 21. Dezember 2021</w:t>
      </w:r>
    </w:p>
    <w:p>
      <w:r>
        <w:t>GE Cour de justice, 2021-12-21, FR</w:t>
      </w:r>
    </w:p>
    <w:p>
      <w:r>
        <w:rPr>
          <w:b/>
        </w:rPr>
        <w:t xml:space="preserve">Quelle: </w:t>
      </w:r>
      <w:r>
        <w:t>https://mcp.opencaselaw.ch/entscheid/ge_gerichte_ATA_1401_2021</w:t>
      </w:r>
    </w:p>
    <w:p>
      <w:r>
        <w:t>FR: GE_GERICHTE ATA/1401/2021 du 21 décembre 2021</w:t>
      </w:r>
    </w:p>
    <w:p>
      <w:r>
        <w:t>IT: GE_GERICHTE ATA/1401/2021 del 21 dicembre 2021</w:t>
      </w:r>
    </w:p>
    <w:p>
      <w:pPr>
        <w:pStyle w:val="Heading2"/>
      </w:pPr>
      <w:r>
        <w:t>Erwägungen</w:t>
      </w:r>
    </w:p>
    <w:p>
      <w:r>
        <w:rPr>
          <w:b/>
        </w:rPr>
        <w:t>E. 12</w:t>
      </w:r>
    </w:p>
    <w:p>
      <w:r>
        <w:t>septembre 1985 - LPA - E 5 10). 2)</w:t>
      </w:r>
    </w:p>
    <w:p>
      <w:r>
        <w:t>Le litige porte sur la conformité au droit de l'estimation de la valeur d'un bien immobilier des contribuables, prise en compte pour la taxation ICC 2017 et 2018 des contribuables. 3)</w:t>
      </w:r>
    </w:p>
    <w:p>
      <w:r>
        <w:t>De jurisprudence constante, les questions de droit matériel sont résolues par le droit en vigueur au cours des périodes fiscales litigieuses (arrêts du Tribunal fédéral 2C_663/2014 du 25 avril 2015 consid. 4 ; 2C_476/2014 du 21 novembre 2014 consid. 4.1).</w:t>
      </w:r>
    </w:p>
    <w:p>
      <w:r>
        <w:t>La loi sur l'imposition des personnes physiques du 27 septembre 2009 (LIPP - D 3 08) prévoit qu'elle s'applique dès la période fiscale 2010, les périodes antérieures étant régies par l'ancien droit (art. 72 al. 1 LIPP). Le présent cas concernant les exercices fiscaux 2017 et 2018, elle trouve donc application en sus de la LHID. 4. a. Selon l’art. 13 al. 1 LHID, l’impôt sur la fortune a pour objet l’ensemble de la fortune nette. Celle-ci est estimée en principe à la valeur vénale, la valeur de rendement pouvant être prise en compte de façon appropriée (art. 14 al. 1 LHID).</w:t>
      </w:r>
    </w:p>
    <w:p>
      <w:r>
        <w:t>L’art. 14 al. 1 LHID laisse une importante liberté aux cantons pour élaborer et mettre en œuvre leur réglementation, aussi bien quant au choix de la méthode de calcul applicable pour estimer la valeur vénale que pour déterminer dans quelle mesure le critère du rendement doit, le cas échéant, également être intégré dans l’estimation (arrêt du Tribunal fédéral 2C_953/2019 du 14 avril 2020 consid. 4.1).</w:t>
      </w:r>
    </w:p>
    <w:p>
      <w:r>
        <w:t>- 7/10 - A/3320/2020 Un certain schématisme est admis en la matière, pourvu que l’évaluation ne soit pas fondée sur le seul critère du rendement et qu’elle n’aboutisse pas à des résultats qui s’écartent par trop de la valeur vénale (ATA/1728/2019 du 26 novembre 2019 consid. 3b et les références citées).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 de la valeur vénale (ATF 134 II 207 consid. 3.6 ; arrêt du Tribunal fédéral 2C_194/2018 du 1er octobre 2018 consid. 5.1).</w:t>
      </w:r>
    </w:p>
    <w:p>
      <w:r>
        <w:t>b. Dans le canton de Genève, la LIPP précise que l’état de la fortune mobilière et immobilière est établi au 31 décembre de l’année pour laquelle l’impôt est dû (art. 49 al. 1 LIPP). La fortune est estimée, en général, à la valeur vénale (art. 49 al. 2 LIPP), soit la valeur attribuée à un objet sur le marché des échanges économiques, lors d’un achat ou d’une vente dans des conditions normales ; lorsque la valeur vénale d’un élément de fortune est donnée par le résultat d’une transaction ayant eu lieu sur le marché libre, elle devient la valeur fiscale (arrêt du Tribunal fédéral 2C_442/2012 du 14 décembre 2012 consid. 4.4). La valeur vénale ne correspond pas à une valeur que l’on peut déterminer exactement de manière mathématique mais, en règle générale, à une valeur d’estimation ou de comparaison. Dans la mesure où toute estimation, quelle que soit la méthode utilisée, aboutit à une certaine marge, variable, d’inexactitude, il est admissible de fixer la valeur déterminante pour l’impôt sur la fortune des immeubles sur la base d’estimations prudentes, schématiques, même si cela a pour conséquence que les valeurs ainsi déterminées divergent dans une certaine mesure des valeurs effectives du marché (ATF 128 I 240 consid. 3.2.2 ; ATA/394/2008 du 29 juillet 2008 consid. 4b).</w:t>
      </w:r>
    </w:p>
    <w:p>
      <w:r>
        <w:t>L’art. 50 LIPP établit les principes d’évaluation des immeubles situés dans le canton, qui ont été jugés conformes à l’art. 14 LHID (ATF 134 II 2017 consid. 3 ; arrêt du Tribunal fédéral 2C_194/2018 du 1er octobre 2018 consid. 5.3).</w:t>
      </w:r>
    </w:p>
    <w:p>
      <w:r>
        <w:t>L'art. 51 LIPP prévoit que le coût des constructions et des travaux à plus-value sont intégrés dans la valeur fiscale du bâtiment.</w:t>
      </w:r>
    </w:p>
    <w:p>
      <w:r>
        <w:t>c. Selon une jurisprudence constante de la chambre de céans, confirmée par le Tribunal fédéral, en matière d'estimation des immeubles, le contribuable n'a pas la faculté de substituer sa propre appréciation à celle de l'administration ou de la commission d'experts (arrêts du Tribunal fédéral 2C_67/2019 du 31 janvier 2019 consid. 4.3 ; 2C_734/2008 du 29 janvier 2009 consid. 4 ; ATA/223/2019 du 5 mars 2019 consid. 6 ; ATA/71/2018 du 23 janvier 2018 consid. 7b ; ATA/45/2018 du 16 janvier 2018 consid. 4b).</w:t>
      </w:r>
    </w:p>
    <w:p>
      <w:r>
        <w:t>- 8/10 - A/3320/2020</w:t>
      </w:r>
    </w:p>
    <w:p>
      <w:r>
        <w:t>S'il considère que la valeur de son bien immobilier a été mal estimée, il doit former une demande de nouvelle estimation. Il est tenu de motiver sa requête et d'indiquer en quoi consistent le ou les changements survenus dans la valeur de sa propriété. Une expertise ne peut être requise pour la première fois devant la juridiction de recours, car la demande en ce sens doit être présentée préalablement à l'administration. De plus, pour avoir une incidence sur l'impôt d'une année déterminée, la demande d'expertise doit avoir été formée avant la date déterminante pour la situation du contribuable et la fixation de la matière imposable, en l'occurrence le 31 décembre de ladite année (ATA/45/2018 précité consid. 4b ; ATA/960/2014 consid. 5b ; RDAF 2000 II p. 280).</w:t>
      </w:r>
    </w:p>
    <w:p>
      <w:r>
        <w:t>La notion de « changements importants » de la valeur d'un immeuble doit être interprétée de manière restrictive. Elle ne couvre que les changements objectifs, matériels et importants dans la valeur de la propriété. Tel n'est notamment pas le cas des modifications conjoncturelles du marché immobilier (ATA/71/2018 précité consid. 7b ; ATA/618/2014 du 12 août 2014 consid. 2e).</w:t>
      </w:r>
    </w:p>
    <w:p>
      <w:r>
        <w:t>Le Tribunal fédéral a déjà jugé qu'une stricte application des règles de procédure, notamment celles relatives aux délais, était justifiée par des motifs d'égalité de traitement et par un intérêt public lié à une bonne administration de la justice et à la sécurité du droit. Il a dès lors écarté le grief d'une recourante qui se plaignait de formalisme excessif en lien avec le délai pour demander l'expertise du bien (arrêt du Tribunal fédéral 2C_734/2008 précité consid. 6.2). 4)</w:t>
      </w:r>
    </w:p>
    <w:p>
      <w:r>
        <w:t>En l'espèce, il n'est pas contesté que les recourants n'ont pas requis une nouvelle estimation de leur bien avant le 31 décembre des années fiscales concernées, et rien ne permet de s'écarter de la solution retenue par l'AFC-GE qui s'avère conforme à la jurisprudence précitée.</w:t>
      </w:r>
    </w:p>
    <w:p>
      <w:r>
        <w:t>En outre, rien ne permet de retenir que les recourants n'auraient pas pu se prévaloir dans ce délai, mais uniquement en 2019, des éléments qui justifieraient, selon eux, une nouvelle estimation, soit le fait que certains travaux luxueux ne pourraient être absorbés par le marché de l'immobilier. En effet, d'une part, à teneur des déclarations fiscales, les travaux de construction avaient pris fin en 2017 déjà et le tassement du marché immobilier des objets de prestige, au demeurant non démontré par les recourants, ne pourrait être qualifié de changement important de la valeur du bien, comme vu ci-dessus.</w:t>
      </w:r>
    </w:p>
    <w:p>
      <w:r>
        <w:t>Quant aux valeurs retenues dans les taxations 2017 et 2018, s'agissant du bien immobilier, elles correspondent à la valeur du terrain nu de CHF 4'162'000.-, ayant remplacé la valeur d'acquisition de CHF 7'200'000.- après démolition du bâtiment, à laquelle ont été ajoutés CHF 8'762'253.- qui correspondent au montant des travaux de démolition et de reconstruction tels que déclarés par les recourants. Il appert ainsi que les montants retenus par l'AFC-GE l'ont été conformément aux art. 49 ss LIPP.</w:t>
      </w:r>
    </w:p>
    <w:p>
      <w:r>
        <w:t>- 9/10 - A/3320/2020 5)</w:t>
      </w:r>
    </w:p>
    <w:p>
      <w:r>
        <w:t>Infondé, le recours sera par conséquent rejeté.</w:t>
      </w:r>
    </w:p>
    <w:p>
      <w:r>
        <w:t>Vu l'issue du litige, un émolument de CHF 1'000.- sera mis à la charge solidaire des recourants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