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ATA/13/2015 vom 6. Januar 2015</w:t>
      </w:r>
    </w:p>
    <w:p>
      <w:r>
        <w:t>GE Cour de justice, 2015-01-06, FR</w:t>
      </w:r>
    </w:p>
    <w:p>
      <w:r>
        <w:rPr>
          <w:b/>
        </w:rPr>
        <w:t xml:space="preserve">Quelle: </w:t>
      </w:r>
      <w:r>
        <w:t>https://mcp.opencaselaw.ch/entscheid/ge_gerichte_ATA_13_2015</w:t>
      </w:r>
    </w:p>
    <w:p>
      <w:r>
        <w:t>FR: GE_GERICHTE ATA/13/2015 du 6 janvier 2015</w:t>
      </w:r>
    </w:p>
    <w:p>
      <w:r>
        <w:t>IT: GE_GERICHTE ATA/13/2015 del 6 gennaio 2015</w:t>
      </w:r>
    </w:p>
    <w:p>
      <w:pPr>
        <w:pStyle w:val="Heading2"/>
      </w:pPr>
      <w:r>
        <w:t>Regeste</w:t>
      </w:r>
    </w:p>
    <w:p>
      <w:r>
        <w:t>Résumé: Rejet du recours contre une décision de placement d'un détenu de deux jours en cellule forte pour injures et menaces envers le personnel, ainsi que refus d'obtempérer. Toujours incarcéré, le recourant conserve un intérêt juridique actuel au recours. Compte tenu des circonstances et de son comportement, la sanction disciplinaire prononcée à son encontre se justifiait et était proportionnée.</w:t>
      </w:r>
    </w:p>
    <w:p>
      <w:pPr>
        <w:pStyle w:val="Heading2"/>
      </w:pPr>
      <w:r>
        <w:t>Erwägungen</w:t>
      </w:r>
    </w:p>
    <w:p>
      <w:r>
        <w:rPr>
          <w:b/>
        </w:rPr>
        <w:t>E. 26</w:t>
      </w:r>
    </w:p>
    <w:p>
      <w:r>
        <w:t>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w:t>
      </w:r>
    </w:p>
    <w:p>
      <w:r>
        <w:t>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w:t>
      </w:r>
    </w:p>
    <w:p>
      <w:r>
        <w:rPr>
          <w:b/>
        </w:rPr>
        <w:t>E. 28</w:t>
      </w:r>
    </w:p>
    <w:p>
      <w:r>
        <w:t>juillet 2009).</w:t>
      </w:r>
    </w:p>
    <w:p>
      <w:r>
        <w:t>e. En l’espèce, le recourant dispose d'un intérêt digne de protection à recourir contre la sanction prononcée contre lui. La légalité d’un placement en cellule forte</w:t>
      </w:r>
    </w:p>
    <w:p>
      <w:r>
        <w:t>- 5/8 - A/2634/2014 doit pouvoir faire l’objet d’un contrôle en vertu de la jurisprudence du Tribunal fédéral précitée, nonobstant l’absence d’intérêt actuel, puisque cette sanction a déjà été exécutée, dans la mesure où cette situation pourrait encore se présenter (ATA/183/2013 du 19 mars 2013 et la jurisprudence citée), dès lors qu'il ne ressort pas du dossier qu'il aurait quitté la prison à ce jour.</w:t>
      </w:r>
    </w:p>
    <w:p>
      <w:r>
        <w:t>Le recours est donc recevable à tous points de vue. 3)</w:t>
      </w:r>
    </w:p>
    <w:p>
      <w:r>
        <w:t>Le recourant se plaint de ce que son placement pour deux jours en cellule forte serait contraire au droit, dès lors qu'il n'aurait ni injurié, ni menacé les gardiens. Par ailleurs, selon ses allégations, un gardien se serait adressé à lui de manière irrespectueuse, puis dix gardiens l'auraient tabassé, plaqué au sol, menotté et humilié. 4) a.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(ATA/785/2012 du 20 novembre 2012 ; ATA/238/2012 du 24 avril 2012 et les références citées). 5) a. Le statut des personnes incarcérées à la prison est régi par le règlement sur le régime intérieur de la prison et le statut des personnes incarcérées du</w:t>
      </w:r>
    </w:p>
    <w:p>
      <w:r>
        <w:rPr>
          <w:b/>
        </w:rPr>
        <w:t>E. 30</w:t>
      </w:r>
    </w:p>
    <w:p>
      <w:r>
        <w:t>septembre 1985 (RRIP - F 1 50.04 ; art. 1 al. 3 de la loi sur l’organisation et le personnel de la prison du 21 juin 1984 - LOPP - F 1 50).</w:t>
      </w:r>
    </w:p>
    <w:p>
      <w:r>
        <w:t>b.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w:t>
      </w:r>
    </w:p>
    <w:p>
      <w:r>
        <w:t>- 6/8 - A/2634/2014 des tiers (art. 44 RRIP) et n’a d’aucune façon le droit de troubler l’ordre et la tranquillité de la prison (art. 45 let. h RRIP).</w:t>
      </w:r>
    </w:p>
    <w:p>
      <w:r>
        <w:t>c.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w:t>
      </w:r>
    </w:p>
    <w:p>
      <w:r>
        <w:t>d. Selon les art. 47 al. 3 et 47 al. 5 RRIP, le directeur est compétent pour prononcer les sanctions suivantes a) suppression de visite pour quinze jours au plus ; b) suppression des promenades collectives ; c) suppression d’achat pour quinze jours au plus ; d) suppression de l’usage des moyens audiovisuels pour quinze jours au plus ; e) privation de travail ; f) placement en cellule forte pour dix jours au plus, étant précisé que ces sanctions peuvent se cumuler (art. 47 al. 4 RRIP). 6)</w:t>
      </w:r>
    </w:p>
    <w:p>
      <w:r>
        <w:t>De jurisprudence constante, la chambre de céans accorde généralement une pleine valeur probante aux constatations figurant dans un rapport de police, établi par des agents assermentés (ATA/99/2014 du 18 février 2014 consid. 5b et les références citées), sauf si des éléments permettent de s’en écarter. Dès lors que les agents de détention sont également des fonctionnaires assermentés (art. 7 LOPP), le même raisonnement peut être appliqué aux rapports établis par ces derniers. 7)</w:t>
      </w:r>
    </w:p>
    <w:p>
      <w:r>
        <w:t>En l'espèce, le recourant admet avoir refusé de se rendre au TAPEM et, ainsi, de se conformer aux ordres des gardiens. À cet égard déjà, il a enfreint le RRIP, son comportement étant de nature à troubler l'ordre de la prison.</w:t>
      </w:r>
    </w:p>
    <w:p>
      <w:r>
        <w:t>Dans ces circonstances, l'usage de la force, en tant que besoin, pour l'emmener à l'audience à laquelle il était convoquée, a été dûment autorisé par la présidente du tribunal, après qu'elle eut été avertie du comportement récalcitrant du recourant. Les gardiens étaient par conséquent légitimés à plaquer le détenu au sol en usant d'une clé de bras, puis à le menotter, pour le faire conduire au TAPEM.</w:t>
      </w:r>
    </w:p>
    <w:p>
      <w:r>
        <w:t>Par ailleurs, bien que le recourant conteste avoir insulté et menacé les gardiens présents lors de l'incident relaté par le rapport du 1er septembre 2014, les éléments ressortant du dossier, en particulier le fait que les explications du recourant quant au déroulement des faits varient entre son recours et son écriture du 19 novembre 2014, tendent à accréditer la teneur dudit rapport, plutôt que les allégations du recourant. C'est par conséquent à juste titre que la direction de la prison a retenu ce motif également pour prononcer la sanction litigieuse, le recourant ayant aussi enfreint le RRIP en n'adoptant pas une attitude correcte envers le personnel.</w:t>
      </w:r>
    </w:p>
    <w:p>
      <w:r>
        <w:t>- 7/8 - A/2634/2014</w:t>
      </w:r>
    </w:p>
    <w:p>
      <w:r>
        <w:t>Eu égard à ce qui précède, le placement du recourant en cellule forte pour deux jours, cette sanction pouvant être prononcée pour dix jours au maximum, respecte le principe de la proportionnalité. 8)</w:t>
      </w:r>
    </w:p>
    <w:p>
      <w:r>
        <w:t>Compte tenu de ce qui précède, le recours sera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