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ATA/13/2010 vom 12. Januar 2010</w:t>
      </w:r>
    </w:p>
    <w:p>
      <w:r>
        <w:t>GE Cour de justice, 2010-01-12, FR</w:t>
      </w:r>
    </w:p>
    <w:p>
      <w:r>
        <w:rPr>
          <w:b/>
        </w:rPr>
        <w:t xml:space="preserve">Quelle: </w:t>
      </w:r>
      <w:r>
        <w:t>https://mcp.opencaselaw.ch/entscheid/ge_gerichte_ATA_13_2010</w:t>
      </w:r>
    </w:p>
    <w:p>
      <w:r>
        <w:t>FR: GE_GERICHTE ATA/13/2010 du 12 janvier 2010</w:t>
      </w:r>
    </w:p>
    <w:p>
      <w:r>
        <w:t>IT: GE_GERICHTE ATA/13/2010 del 12 gennaio 2010</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Selon les articles 2 à 4 de la loi sur l'avance et le recouvrement des pensions alimentaires du 22 avril 1977 (LARPA - E 1 25), sur demande, le SCARPA aide de manière adéquate et gratuitement tout créancier d'une pension alimentaire en vue d'obtenir l'exécution des prestations fondées sur un jugement ou sur une promesse juridiquement valable. La convention signée entre les parties n'a pas d'effet rétroactif. Le SCARPA procède pour le compte du bénéficiaire aux opérations requises dans le cadre de l'exécution forcée.</w:t>
      </w:r>
    </w:p>
    <w:p>
      <w:r>
        <w:t>Le créancier d'une contribution d'entretien peut demander au SCARPA de faire des avances; le service peut exiger toutes informations nécessaires sur la situation financière du créancier (art. 5 al. 1 et 3 LARPA).</w:t>
      </w:r>
    </w:p>
    <w:p>
      <w:r>
        <w:t>L'art. 12 LARPA précise que les avances peuvent être refusées si le bénéficiaire compromet l'action du service, notamment en fournissant volontairement des renseignements inexacts ou incomplets. Il peut être alors contraint à rembourser les avances consenties en tout ou en partie.</w:t>
      </w:r>
    </w:p>
    <w:p>
      <w:r>
        <w:t>- 4/6 - A/3806/2008</w:t>
      </w:r>
    </w:p>
    <w:p>
      <w:r>
        <w:rPr>
          <w:b/>
        </w:rPr>
        <w:t>E. 3</w:t>
      </w:r>
    </w:p>
    <w:p>
      <w:r>
        <w:t>Le principe de la proportionnalité exige qu’une mesure restrictive soit apte à produire les résultats escomptés et que ceux-ci ne puissent être atteints par une mesure moins incisive ; en outre, il interdit toute limitation allant au-delà du but visé et il exige un rapport raisonnable entre celui-ci et les intérêts publics ou privés compromis (ATF 126 I 219 consid. 2c p. 222 et les références citées).</w:t>
      </w:r>
    </w:p>
    <w:p>
      <w:r>
        <w:t>En l'espèce, la recourante n'a pas indiqué, dans le délai qui lui avait été imparti par un courrier adressé par pli simple, le fait qu'elle n'avait pas encore reçu son avis de taxation fiscal.</w:t>
      </w:r>
    </w:p>
    <w:p>
      <w:r>
        <w:t>Le manquement reproché à la recourante ne constitue pas une violation du document synthétisant ses droits et ses obligations, signé le 3 juillet 2006. Ce dernier institue uniquement l'obligation de transmettre l'avis de taxation et le bordereau d'impôt reçus de l'administration fiscale dans les quinze jours à compter de leur réception.</w:t>
      </w:r>
    </w:p>
    <w:p>
      <w:r>
        <w:t>Le SCARPA a créé une nouvelle obligation en demandant à la recourante d'indiquer si elle n'avait pas reçu sa taxation fiscale. Il n'a pas envoyé de rappel par courrier recommandé avant de suspendre le versement des avances alimentaires. En agissant ainsi, le SCARPA a adopté une attitude contraire au principe de la proportionnalité (ATA/198/2009 du 21 avril 2009).</w:t>
      </w:r>
    </w:p>
    <w:p>
      <w:r>
        <w:rPr>
          <w:b/>
        </w:rPr>
        <w:t>E. 4</w:t>
      </w:r>
    </w:p>
    <w:p>
      <w:r>
        <w:t>Au vu de ce qui précède, le recours sera admis, et la décision de suspendre dès le 1er octobre 2008 le versement des avances alimentaires à la recourante sera annulée. Le SCARPA sera condamné à verser à la recourante CHF 500.-, soit le montant de l'avance due pour le mois d'octobre 2008.</w:t>
      </w:r>
    </w:p>
    <w:p>
      <w:r>
        <w:t>Au vu de cette issue, un émolument de procédure de CHF 500,- sera mis à la charge du SCARPA, qui succombe. Aucune indemnité de procédure ne sera allouée à Mme F______ qui n'y a pas conclu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