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ATA/139/2022 vom 8. Februar 2022</w:t>
      </w:r>
    </w:p>
    <w:p>
      <w:r>
        <w:t>GE Cour de justice, 2022-02-08, FR</w:t>
      </w:r>
    </w:p>
    <w:p>
      <w:r>
        <w:rPr>
          <w:b/>
        </w:rPr>
        <w:t xml:space="preserve">Quelle: </w:t>
      </w:r>
      <w:r>
        <w:t>https://mcp.opencaselaw.ch/entscheid/ge_gerichte_ATA_139_2022</w:t>
      </w:r>
    </w:p>
    <w:p>
      <w:r>
        <w:t>FR: GE_GERICHTE ATA/139/2022 du 8 février 2022</w:t>
      </w:r>
    </w:p>
    <w:p>
      <w:r>
        <w:t>IT: GE_GERICHTE ATA/139/2022 del 8 febbraio 2022</w:t>
      </w:r>
    </w:p>
    <w:p>
      <w:pPr>
        <w:pStyle w:val="Heading2"/>
      </w:pPr>
      <w:r>
        <w:t>Erwägungen</w:t>
      </w:r>
    </w:p>
    <w:p>
      <w:r>
        <w:rPr>
          <w:b/>
        </w:rPr>
        <w:t>E. 29</w:t>
      </w:r>
    </w:p>
    <w:p>
      <w:r>
        <w:t>octobre 2019 consid. 3c). Il suffit que celui-ci puisse en prendre connaissance (ATF 118 II 42 consid. 3b ; ATA/1220/2021 du 16 novembre 2021 consid. 9b). Il suffit en effet que l'acte se trouve dans sa sphère d'influence et qu'en organisant normalement ses affaires, il soit à même d'en prendre connaissance (ATF 118 II 42 consid. 3b ; arrêt du Tribunal fédéral 9C_206/2016 du 26 août 2016 consid. 3.3).</w:t>
      </w:r>
    </w:p>
    <w:p>
      <w:r>
        <w:t>d.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(ATA/1209/2020 du 1er décembre 2020 consid. 3c et les références citées). Le strict respect des délais légaux se justifie pour des raisons d’égalité de traitement et n’est pas constitutif de formalisme excessif (ATF 142 V 152 consid. 4.2 in fine).</w:t>
      </w:r>
    </w:p>
    <w:p>
      <w:r>
        <w:t>e.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(ATA/1127/2020 du 10 novembre 2020 consid. 4b et les références citées).</w:t>
      </w:r>
    </w:p>
    <w:p>
      <w:r>
        <w:t>- 8/13 - A/3725/2020 3)</w:t>
      </w:r>
    </w:p>
    <w:p>
      <w:r>
        <w:t>Celui qui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notamment le cas chaque fois qu'il est partie à une procédure pendante (ATF 139 IV 228 consid. 1 ; 130 III 396 consid. 1.2.3 ; arrêt du Tribunal fédéral 1C_455/2017 du 10 octobre 2017 consid. 3.1 ; ATA/280/2021 du 2 mars 2021 consid. 2b). 4) a. Le droit genevois prévoit expressément que lorsque l'adresse du destinataire est inconnue, la notification a lieu par publication (art. 46 al. 4 LPA).</w:t>
      </w:r>
    </w:p>
    <w:p>
      <w:r>
        <w:t>b. Une telle publication intervient ainsi à titre de notification de substitution, lorsque la partie a un domicile inconnu ou est inatteignable ; il s’agit alors d’un mode de notification extraordinaire. En revanche, il n’est pas admissible de passer par la publication lorsqu’il suffit à l’administration de consulter le registre de l’OCPM pour trouver l’adresse de l’administré (Stéphane GRODECKI/ Romain JORDAN, Code annoté de procédure administrative genevoise, 2017, n. 588 ad art. 46 LPA).</w:t>
      </w:r>
    </w:p>
    <w:p>
      <w:r>
        <w:t>c. Selon l'art. 47 LPA, une notification irrégulière ne peut entraîner aucun préjudice pour les parties.</w:t>
      </w:r>
    </w:p>
    <w:p>
      <w:r>
        <w:t>d. La chambre de céans a jugé en 2016, dans une affaire dans laquelle une autorité fiscale avait notifié des décisions à l'adresse professionnelle de l'administré, que le principe de la proportionnalité lui permettait d'agir ainsi plutôt que de passer directement à une notification par voie édictale (ATA/741/2016 du</w:t>
      </w:r>
    </w:p>
    <w:p>
      <w:r>
        <w:rPr>
          <w:b/>
        </w:rPr>
        <w:t>E. 30</w:t>
      </w:r>
    </w:p>
    <w:p>
      <w:r>
        <w:t>août 2016 consid. 6). 5) a. Le principe de la bonne foi entre administration et administré, qui résulte des art. 5 al. 3 et 9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ATA/20/2022 du 11 janvier 2022 consid. 9b).</w:t>
      </w:r>
    </w:p>
    <w:p>
      <w:r>
        <w:t>b. Le fardeau de la preuve de la notification d'un acte incombe à l'autorité qui entend en tirer une conséquence juridique. Si elle veut se prémunir contre le risque d'échec de la preuve de la notification, elle doit communiquer ses décisions par pli recommandé (ATF 129 I 8 consid. 2.2 ; ATA/1069/2021 du 12 octobre 2021 consid. 2b).</w:t>
      </w:r>
    </w:p>
    <w:p>
      <w:r>
        <w:t>c. Lorsque les preuves font défaut ou s'il ne peut être raisonnablement exigé de l'autorité qu'elle les recueille pour les faits constitutifs d'un droit, le fardeau de la</w:t>
      </w:r>
    </w:p>
    <w:p>
      <w:r>
        <w:t>- 9/13 - A/3725/2020 preuve incombe à celui qui entend se prévaloir de ce droit (ATA/278/2021 du 2 mars 2021 consid. 6).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6)</w:t>
      </w:r>
    </w:p>
    <w:p>
      <w:r>
        <w:t>En l'espèce, le recourant indique n'avoir jamais reçu le courrier d’intention du 29 juin et la décision du 21 septembre 2020 de l’OCPM, au motif qu’ils auraient été adressés à son ancienne adresse alors même qu’il avait informé l’OCPM, par courrier du 1er juin 2020, de sa nouvelle adresse.</w:t>
      </w:r>
    </w:p>
    <w:p>
      <w:r>
        <w:t>Il ressort du dossier que l’OCPM a effectivement adressé les plis précités à l’ancienne adresse du recourant, qui est celle qui était mentionnée (et même attestée par pièce) dans la demande présentée devant lui le 17 février 2020. L'intimé indique par ailleurs n’avoir jamais reçu de courrier d'annonce de changement d'adresse daté du 1er juin 2020. À cet égard, le recourant ne fournit aucune preuve de l'envoi dudit courrier, qu'il n'a pas signé et pas envoyé en recommandé, ce alors que le fardeau de la preuve lui incombe ; de plus, comme le relève pertinemment le TAPI, il est surprenant que lors de son passage aux guichets de l’OCPM puis dans son courrier du 12 novembre 2020, le recourant n’ait pas fait état d’un tel envoi. Il doit donc être retenu que l'OCPM ne disposait pas, en septembre 2020, de la nouvelle adresse du recourant. On relèvera du reste qu'il s'agissait d'une sous-location, si bien qu'il est conforme à l'expérience générale de la vie qu'il n'y ait pas non plus eu de communication de la nouvelle adresse par le bailleur ou le sous-bailleur au sens de l'art. 7 al. 2 de la loi d'application de la loi fédérale sur l'harmonisation des registres des habitants et d'autres registres officiels de personnes du 3 avril 2009 (LaLHR - F 2 25).</w:t>
      </w:r>
    </w:p>
    <w:p>
      <w:r>
        <w:t>Dès lors que le premier envoi de l'OCPM lui avait été retourné par la Poste avec la mention « le destinataire est introuvable à l'adresse indiquée » et faute de connaître ou d’être en mesure de connaître la nouvelle adresse du recourant, il était fondé à notifier sa décision par publication dans la FAO. À cet égard, la jurisprudence de la chambre de céans citée par le recourant et mentionnée plus haut ne comporte pas d'obligation pour l'administration de notifier certaines décisions à l'adresse professionnelle de l'administré plutôt que de procéder d'emblée à une notification par le biais de la FAO. Partant, il doit être admis, comme l'a retenu le TAPI, que la décision querellée a été valablement notifiée au recourant le 21 septembre 2020.</w:t>
      </w:r>
    </w:p>
    <w:p>
      <w:r>
        <w:t>Il découle de ce qui précède que le délai de recours au TAPI expirait le 21 octobre 2020 à minuit. Posté le 17 novembre 2020, le recours était manifestement tardif, le recourant n'ayant donné aucune autre explication que la notification irrégulière pour justifier cette tardiveté. Aucun cas de force majeure permettant la restitution du délai ne peut donc entrer en ligne de compte.</w:t>
      </w:r>
    </w:p>
    <w:p>
      <w:r>
        <w:t>- 10/13 - A/3725/2020</w:t>
      </w:r>
    </w:p>
    <w:p>
      <w:r>
        <w:t>Mal fondé, le recours sera dès lors rejeté dans la mesure de sa recevabilité. 7)</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