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ATA/1393/2021 vom 21. Dezember 2021</w:t>
      </w:r>
    </w:p>
    <w:p>
      <w:r>
        <w:t>GE Cour de justice, 2021-12-21, FR</w:t>
      </w:r>
    </w:p>
    <w:p>
      <w:r>
        <w:rPr>
          <w:b/>
        </w:rPr>
        <w:t xml:space="preserve">Quelle: </w:t>
      </w:r>
      <w:r>
        <w:t>https://mcp.opencaselaw.ch/entscheid/ge_gerichte_ATA_1393_2021</w:t>
      </w:r>
    </w:p>
    <w:p>
      <w:r>
        <w:t>FR: GE_GERICHTE ATA/1393/2021 du 21 décembre 2021</w:t>
      </w:r>
    </w:p>
    <w:p>
      <w:r>
        <w:t>IT: GE_GERICHTE ATA/1393/2021 del 21 dicembre 2021</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ainsi que de participer à l'administration des preuves (arrêt du Tribunal fédéral 1C_279/2016 du 27 février 2017 consid. 6.1). Le droit d'être entendu impose également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ATA/1021/2020 du 13 octobre 2020 consid. 4a). La motivation peut aussi être implicite et résulter des différents considérants de la décision (ATF 141 V 557 consid. 3.2.1).</w:t>
      </w:r>
    </w:p>
    <w:p>
      <w:r>
        <w:t>b. En l'espèce, la recourante reproche au TAPI de n'avoir rien dit des circonstances dans lesquelles la cause A/3618/2019 avait été attribuée à Mme B______. Les considérants de la partie en droit ne permettaient pas non plus de savoir si c'était Mme C______ qui l'avait réattribuée, ou le greffier de juridiction, et dans ce cas sur instruction de quel magistrat.</w:t>
      </w:r>
    </w:p>
    <w:p>
      <w:r>
        <w:t>Comme il résulte de l'analyse effectuée ci-après, cet élément était sans pertinence pour l'issue du litige, si bien que le droit d'être entendu de la recourante n'a pas été violé. Pour le surplus, la recourante ne prétend pas ne pas avoir pu comprendre les motifs ayant fondé le jugement attaqué, lesquels sont détaillés et circonstanciés.</w:t>
      </w:r>
    </w:p>
    <w:p>
      <w:r>
        <w:t>- 11/16 - A/857/2021</w:t>
      </w:r>
    </w:p>
    <w:p>
      <w:r>
        <w:t>Le grief sera ainsi écarté. 5)</w:t>
      </w:r>
    </w:p>
    <w:p>
      <w:r>
        <w:t>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 6) a.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w:t>
      </w:r>
    </w:p>
    <w:p>
      <w:r>
        <w:t>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7) a. La procédure de récusation n’a pas pour objet de permettre aux parties de contester la manière dont est menée l’instruction et de remettre en cause les différentes décisions incidentes prises par la direction de la procédure. Même dans</w:t>
      </w:r>
    </w:p>
    <w:p>
      <w:r>
        <w:t>- 12/16 - A/857/2021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w:t>
      </w:r>
    </w:p>
    <w:p>
      <w:r>
        <w:t>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w:t>
      </w:r>
    </w:p>
    <w:p>
      <w:r>
        <w:t>c.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w:t>
      </w:r>
    </w:p>
    <w:p>
      <w:r>
        <w:t>d. Dans une affaire jugée en 2018, le Tribunal fédéral a examiné le cas d'un procureur général récusé ayant réattribué le dossier à un autre membre de son Parquet. L'autorité précédente avait estimé qu'il était douteux que l'acte administratif d'attribution d'un dossier à un procureur puisse être un motif de récusation. Elle avait ensuite considéré que les informations données par le procureur général au procureur pressenti pour l'attribution du cas, ne constituaient pas des instructions, mais uniquement des renseignements que la loi exigeait. Ce raisonnement ne prêtait pas le flanc à la critique. En particulier, comme l'admission d'une demande de récusation entraîne la désignation d'un autre membre de l'autorité, le fait de participer au processus de nomination ne pouvait constituer en soi un motif de récusation (arrêt du Tribunal fédéral 1B_220/2018 du 11 septembre 2018 consid. 3.2). 8) a. À Genève, les art. 25 à 37 LOJ constituent le chapitre I (« Juridictions ») du Titre IV (« Organisation et administration ») de la LOJ.</w:t>
      </w:r>
    </w:p>
    <w:p>
      <w:r>
        <w:t>b. L'art. 29 LOJ, intitulé « présidence et vice-présidence des tribunaux » définit les compétences du président ou de la présidente de juridiction, ainsi que du vice-président ou de la vice-présidente. Ainsi, selon l'art. 29 al. 4 LOJ, le président : a) attribue les procédures et modifie s’il y a lieu les dispositions prises à cet égard ; b) veille à ce que les magistrats du tribunal remplissent leur charge</w:t>
      </w:r>
    </w:p>
    <w:p>
      <w:r>
        <w:t>- 13/16 - A/857/2021 avec dignité, rigueur, assiduité, diligence et humanité ; c) veille au bon fonctionnement de la juridiction et à l’avancement des procédures ; d) convoque la séance plénière du tribunal ; et e) exerce les autres attributions que la loi lui confère. En outre, selon l'art. 29 al. 5 LOJ, le vice-président exerce, dans les limites du règlement de la juridiction, les compétences qui lui sont déléguées par le président.</w:t>
      </w:r>
    </w:p>
    <w:p>
      <w:r>
        <w:t>c. Selon l'art. 32 LOJ, applicable à l'ensemble des juridictions, lorsque le président du tribunal est empêché ou récusé, il est remplacé par le vice-président ou, s’agissant de la Cour de justice et du Tribunal civil, par le premier en rang des vice-présidents (al. 1). Lorsque le vice-président est également empêché ou récusé, il est remplacé par un juge (al. 2). Entre les juges, le rang est déterminant (al. 3).</w:t>
      </w:r>
    </w:p>
    <w:p>
      <w:r>
        <w:t>d. Mis à part l'art. 29 al. 4 let. a LOJ précité, qui prévoit plus une responsabilité en matière d'attribution des dossiers qu'un devoir personnel de procéder lui-même à l'attribution de tous les dossiers, ce qui serait du reste impraticable (selon le compte rendu de l'activité du Pouvoir judiciaire 2020, lors de cette seule année la Cour de justice a reçu 6'300 nouveaux dossiers, le Tribunal pénal 9'800, le Ministère public 21'655 et le Tribunal civil 22'026), la LOJ ne prévoit pas de règle d'attribution des dossiers, pas plus que la LPA.</w:t>
      </w:r>
    </w:p>
    <w:p>
      <w:r>
        <w:t>Il est en revanche prévu dans le règlement du TAPI du 20 juin 2014 (RTAPI - E 2 05.46) que les causes sont attribuées aux juges titulaires à tour de rôle, au fur et à mesure de leur dépôt auprès du TAPI, sans précision quant à une personne déterminée qui procéderait à l'attribution.</w:t>
      </w:r>
    </w:p>
    <w:p>
      <w:r>
        <w:t>e. À Genève, au sein des juridictions du siège, aucun magistrat n'a de pouvoir hiérarchique sur les autres, ni ne peut donner d'instructions à ses collègues. Le président et le vice-président assurent les tâches, notamment administratives et organisationnelles, qui leur sont dévolues de par la loi, mais ils n'exercent pas d'autorité hiérarchique. 9)</w:t>
      </w:r>
    </w:p>
    <w:p>
      <w:r>
        <w:t>En l'espèce, Mme C______ n'a jamais été formellement récusée dans la procédure A/3618/2019, mais elle s'est apparemment spontanément déportée en constatant que son impartialité était mise en cause, ce que le droit de procédure et d'organisation judiciaire genevois ne prohibe pas. Les tâches présidentielles et juridictionnelles étant séparées, elle pouvait donc parfaitement réattribuer le dossier à l'un ou l'autre de ses collègues à la suite de son déport, étant rappelé que selon la jurisprudence, le fait de participer au processus d'attribution (ou de réattribution) d'un dossier ne saurait constituer en soi un motif de récusation. Dans cette mesure, l'art. 32 LOJ ne trouve de toute façon pas application en l'espèce. En effet, même si l'on considérait que l'attribution du dossier incombe au président en personne, la présidente pouvait en l'occurrence assumer cette tâche elle-même, et elle n'avait pas à être remplacée. Quant à l'affirmation de la recourante selon</w:t>
      </w:r>
    </w:p>
    <w:p>
      <w:r>
        <w:t>- 14/16 - A/857/2021 laquelle la cause ne pouvait être attribuée à Mme B______ qu'en cas d'empêchement ou de récusation de tous les autres juges du TAPI, elle ne saurait être accueillie. Retenir un tel point de vue signifierait que toutes les causes d'un tribunal devraient être attribuées à son président, et que les autres juges ne se verraient attribuer des dossiers qu'en cas d'absence ou de récusation du président, ce qui n'a pas de sens.</w:t>
      </w:r>
    </w:p>
    <w:p>
      <w:r>
        <w:t>Par ailleurs, comme déjà mentionné, la règle de l'art. 29 al. 4 let. a LOJ confie la responsabilité de l'attribution des dossiers aux juges au président de juridiction, mais ne saurait être interprété comme une obligation personnelle pour ledit président de statuer lui-même sur l'attribution de chaque dossier. Au contraire, les bonnes pratiques en la matière exigent plutôt que des processus standardisés voire automatisés soient mis en place afin d'éviter tout biais (décision de la commission administrative du Tribunal fédéral 12T_3/2018 du 22 mai 2018 consid. 2.2 ; Regina KIENER/David HENSELER, Anforderungen des Europarats und der OSZE an die Spruchkörperbildung in Gerichten, Études en l'honneur de Thierry Tanquerel, 2019, 193-200, p. 197-199, avec références). Au sein d'un tribunal composé de plusieurs juges, le juge naturel d'un justiciable n'est du reste pas un magistrat donné mais n'importe lequel parmi ceux dudit tribunal. Le droit à une composition régulière de l'autorité n'emporte dès lors pas de droit pour le justiciable à l'attribution d'un dossier plutôt qu'à tel autre, sauf éventuellement au cas où des dispositions légales ou réglementaires attribueraient certaines causes à un magistrat particulier, notamment des causes dites présidentielles. Même au cas où l'attribution du dossier à Mme B______ serait le fait du greffe ou du greffier de juridiction sans le concours exprès d'un magistrat, en fonction de règles de « tournus » préétablies, on devrait admettre qu'une telle réattribution est régulière, et quoi qu'il en soit que la recourante ne serait pas fondée à s'en plaindre tant que la magistrate concernée n'est pas récusable à un autre titre.</w:t>
      </w:r>
    </w:p>
    <w:p>
      <w:r>
        <w:t>Enfin, comme l'a à juste titre retenu le TAPI, on ne saurait voir dans le courrier envoyé le 14 janvier 2021 par Mme B______ un quelconque indice de partialité, s'agissant de l'exercice des attributions normales du juge délégué (art. 115 al. 3 LOJ), consistant en l'espèce à interpeller une partie à la suite d'un arrêt de renvoi de la chambre de céans.</w:t>
      </w:r>
    </w:p>
    <w:p>
      <w:r>
        <w:t>Quant à l'épisode de 2014 auquel se réfère la recourante, le raisonnement du TAPI échappe à toute critique. Si le ton utilisé est assez sec, il ne permet pas d'en déduire une animosité particulière, et l'échange en cause est vieux de plus de sept ans. La jurisprudence n'admet en principe pas qu'une remarque déplaisante d'un magistrat à l'encontre d'une partie constitue un motif de récusation, et il en va à plus forte raison de même lorsque de telles remarques ont été échangées entre avocats plusieurs années auparavant.</w:t>
      </w:r>
    </w:p>
    <w:p>
      <w:r>
        <w:t>Le rejet de la demande de récusation est ainsi conforme au droit, si bien que le recours sera rejeté.</w:t>
      </w:r>
    </w:p>
    <w:p>
      <w:r>
        <w:t>- 15/16 - A/857/2021 10) 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