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ATA/1386/2024 vom 26. November 2024</w:t>
      </w:r>
    </w:p>
    <w:p>
      <w:r>
        <w:t>GE Cour de justice, 2024-11-26, FR</w:t>
      </w:r>
    </w:p>
    <w:p>
      <w:r>
        <w:rPr>
          <w:b/>
        </w:rPr>
        <w:t xml:space="preserve">Quelle: </w:t>
      </w:r>
      <w:r>
        <w:t>https://mcp.opencaselaw.ch/entscheid/ge_gerichte_ATA_1386_2024</w:t>
      </w:r>
    </w:p>
    <w:p>
      <w:r>
        <w:t>FR: GE_GERICHTE ATA/1386/2024 du 26 novembre 2024</w:t>
      </w:r>
    </w:p>
    <w:p>
      <w:r>
        <w:t>IT: GE_GERICHTE ATA/1386/2024 del 26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Les recourantes sollicitent leur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w:t>
      </w:r>
    </w:p>
    <w:p>
      <w:r>
        <w:t>- 5/8 - A/3410/2023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n’implique pas le droit d’être entendu oralement, ni celui d’obtenir l’audition de témoins (ATF 134 I 140 consid. 5.3 ; 130 II 425 consid. 2.1).</w:t>
      </w:r>
    </w:p>
    <w:p>
      <w:r>
        <w:rPr>
          <w:b/>
        </w:rPr>
        <w:t>E. 2.2</w:t>
      </w:r>
    </w:p>
    <w:p>
      <w:r>
        <w:t>En l’espèce, les recourantes ont pu exposer leurs arguments et produire toute pièce qu’elles estimaient utile tant devant le TAPI que la chambre administrative. Devant celle-ci, le litige ne porte que sur le bien-fondé du jugement du TAPI déclarant le recours irrecevable en l’absence d’acte attaquable. Dès lors, une audition des recourantes, qui n’y ont par ailleurs pas droit, n’apparait pas utile, étant relevé que la chambre administrative dispose d’un dossier complet lui permettant de trancher le litige.</w:t>
      </w:r>
    </w:p>
    <w:p>
      <w:r>
        <w:rPr>
          <w:b/>
        </w:rPr>
        <w:t>E. 3</w:t>
      </w:r>
    </w:p>
    <w:p>
      <w:r>
        <w:t>Le litige porte sur le point de savoir si c’est à juste titre que le TAPI a déclaré le recours des sociétés irrecevable.</w:t>
      </w:r>
    </w:p>
    <w:p>
      <w:r>
        <w:rPr>
          <w:b/>
        </w:rPr>
        <w:t>E. 4</w:t>
      </w:r>
    </w:p>
    <w:p>
      <w:r>
        <w:t>Dans un premier grief, les recourantes se plaignent d’une constatation incomplète des faits.</w:t>
      </w:r>
    </w:p>
    <w:p>
      <w:r>
        <w:rPr>
          <w:b/>
        </w:rPr>
        <w:t>E. 4.1</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Selon la maxime inquisitoire, qui prévaut en particulier en droit public, l’autorité définit les faits pertinents et ne tient pour existants que ceux qui sont dûment prouvés. Cela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w:t>
      </w:r>
    </w:p>
    <w:p>
      <w:r>
        <w:rPr>
          <w:b/>
        </w:rPr>
        <w:t>E. 4.2</w:t>
      </w:r>
    </w:p>
    <w:p>
      <w:r>
        <w:t>En l’espèce, le litige se limitant à la question de la recevabilité du recours, singulièrement sur l’existence d’un acte attaquable, les trois complexes de faits que les recourantes reprochent au TAPI d’avoir omis ne sont pas pertinents conformément au considérant qui suit.</w:t>
      </w:r>
    </w:p>
    <w:p>
      <w:r>
        <w:rPr>
          <w:b/>
        </w:rPr>
        <w:t>E. 5</w:t>
      </w:r>
    </w:p>
    <w:p>
      <w:r>
        <w:t>Les recourantes invoquent uniquement un grief de fond relatif au changement de pratique de l’administration lequel violerait les principes de la légalité, de l’égalité de traitement, de la proportionnalité et constituerait du formalisme excessif. Elles ne formulent aucun grief à l’encontre des considérants du jugement du TAPI. L’argumentation des sociétés quant à l’existence d’une pratique et de l’illégalité de son changement porte sur le fond du litige et non sur l’objet, limité, du présent recours tel que précédemment défini. Infondé, le recours doit, pour ce seul motif, être rejeté.</w:t>
      </w:r>
    </w:p>
    <w:p>
      <w:r>
        <w:t>- 6/8 - A/3410/2023</w:t>
      </w:r>
    </w:p>
    <w:p>
      <w:r>
        <w:rPr>
          <w:b/>
        </w:rPr>
        <w:t>E. 6</w:t>
      </w:r>
    </w:p>
    <w:p>
      <w:r>
        <w:t>À considérer que les recourantes contestent implicitement l’irrecevabilité de leur recours devant le TAPI, l’issue de la présente procédure ne serait pas différente.</w:t>
      </w:r>
    </w:p>
    <w:p>
      <w:r>
        <w:rPr>
          <w:b/>
        </w:rPr>
        <w:t>E. 6.1</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w:t>
      </w:r>
    </w:p>
    <w:p>
      <w:r>
        <w:rPr>
          <w:b/>
        </w:rPr>
        <w:t>E. 6.2</w:t>
      </w:r>
    </w:p>
    <w:p>
      <w:r>
        <w:t>La notion de décision vise, d’une manière générale, toute mesure que prend une autorité, dans un cas individuel et concret, en vue de produire un certain effet juridique. (ATF 135 II 30 consid. 4.3). En d’autres termes, constitue une décision un acte étatique qui touche la situation juridique de l’intéressé, l’astreignant à faire, à s’abstenir ou à tolérer quelque chose, ou qui règle d’une autre manière obligatoire ses rapports avec l’Etat (ATF 135 II 22 consid. 1.2). En revanche, de simples déclarations, comme des opinions, des communications, des prises de position, des recommandations et des renseignements n’entrent pas dans la catégorie des décisions, faute de caractère juridique contraignant (arrêt 8C_220/2011 consid. 4.1.2 in SJ 2013 I 18). En d’autres termes, constitue une décision un acte étatique qui touche la situation juridique de l’intéressé, l’astreignant à faire, à s’abstenir ou à tolérer quelque chose, ou qui règle d’une autre manière obligatoire ses rapports avec l’État (ATF 135 II 22 consid. 1.2 p. 24).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(arrêts 2C_495/2021 du 9 février 2022 consid. 3.2 ; 1C_361/2019 précité consid. 3.1.2; 2C_282/2017 précité consid. 2.1 et les arrêts cités).</w:t>
      </w:r>
    </w:p>
    <w:p>
      <w:r>
        <w:rPr>
          <w:b/>
        </w:rPr>
        <w:t>E. 6.3</w:t>
      </w:r>
    </w:p>
    <w:p>
      <w:r>
        <w:t>Dans une affaire où la partie recourante avait demandé confirmation qu’elle avait le droit de distribuer des tracts sur le domaine public sans avoir à demander d’autorisation, le courrier de réponse de l’autorité cantonale, qui lui imposait l’obligation de déposer une demande d’autorisation, constituait une décision contre laquelle l’intéressée devait pouvoir recourir. Le contenu du courrier indiquait « la distribution de tracts publicitaires en ville de Vevey était soumise à autorisation et a confirmé que "les membres de l’association "Pour l’Egalité animale" ainsi que [la prénommée] [devaient] obtenir une autorisation de distribution de flyers sur le domaine public, moyennant une demande préalable" » (arrêt 1C_113/2015 du 18 septembre 2015 consid. 2.3 et 3).</w:t>
      </w:r>
    </w:p>
    <w:p>
      <w:r>
        <w:t>- 7/8 - A/3410/2023</w:t>
      </w:r>
    </w:p>
    <w:p>
      <w:r>
        <w:rPr>
          <w:b/>
        </w:rPr>
        <w:t>E. 6.4</w:t>
      </w:r>
    </w:p>
    <w:p>
      <w:r>
        <w:t>En l’espèce, le courrier du 11 septembre 2023 rappelle la teneur des art. 56 al. 1 et 2 de la Lroutes et les dispositions pertinentes du RUDP. Il évoque la mise en conformité administrative des activités des sociétés et l’existence de discussions pour rappeler le cadre légal aux recourantes et évoquer des pistes d’amélioration et de simplification de leur mise en conformité. Ce courrier n’est pas énoncé comme étant une décision et ne comporte pas d’indication des voies de recours. Ce document n’est pas individuel, puisqu’il évoque la situation des entreprises de vidange dans le canton, les quatre sociétés concernées n’étant pas seules à exercer cette activité. Il n’a pas de portée sur les droits et obligations des recourantes. Il n’emporte donc aucun effet formateur de droit ou d’obligation à l’égard des recourantes, ni aucun effet constatatoire par rapport à l’existence ou l’inexistence d’un tel droit ou d’une telle obligation. Il n’a aucun caractère obligatoire ne réglant pas la situation de façon contraignante et impérative. Il ne comporte aucune injonction, mais a pour vocation de confirmer aux sociétés que le courriel du 3 mars 2023 sur la nouvelle procédure pour les occupations ponctuelles du domaine public en cas de déménagements ou de livraisons spéciales, qui ne leur avait pas été adressé, ne leur était pas destiné. Il rappelle le cadre juridique et l’existence de discussions en cours. Une éventuelle future sanction ne découlerait pas de ce document mais des dispositions légales qui y sont mentionnées. Le courrier consiste ainsi en une simple communication qui ne déploie aucun effet juridique. En cela, la correspondance ne revêt pas les caractéristiques matérielles d’une décision et ne pouvait donc faire l’objet d’un recours devant le TAPI. Pour le surplus, il peut être renvoyé à l’argumentation du TAPI, soit principalement au fait que la pratique contestée par les sociétés a donné lieu à des taxes que leurs destinataires auraient pu contester. Il n’y a dès lors aucune raison d’exiger une décision constatatoire. À considérer qu’il s’agisse d’une nouvelle pratique, sa légalité pourrait être contestée à l’occasion de recours dirigés contre des décisions individuelles et concrètes prises en application de celle-ci. Le jugement attaqué est ainsi conforme au droit.</w:t>
      </w:r>
    </w:p>
    <w:p>
      <w:r>
        <w:rPr>
          <w:b/>
        </w:rPr>
        <w:t>E. 7</w:t>
      </w:r>
    </w:p>
    <w:p>
      <w:r>
        <w:t>Vu l’issue du litige, un émolument de CHF 500.- sera mis à la charge solidaire des recourantes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