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ATA/1386/2023 vom 22. Dezember 2023</w:t>
      </w:r>
    </w:p>
    <w:p>
      <w:r>
        <w:t>GE Cour de justice, 2023-12-22, FR</w:t>
      </w:r>
    </w:p>
    <w:p>
      <w:r>
        <w:rPr>
          <w:b/>
        </w:rPr>
        <w:t xml:space="preserve">Quelle: </w:t>
      </w:r>
      <w:r>
        <w:t>https://mcp.opencaselaw.ch/entscheid/ge_gerichte_ATA_1386_2023</w:t>
      </w:r>
    </w:p>
    <w:p>
      <w:r>
        <w:t>FR: GE_GERICHTE ATA/1386/2023 du 22 décembre 2023</w:t>
      </w:r>
    </w:p>
    <w:p>
      <w:r>
        <w:t>IT: GE_GERICHTE ATA/1386/2023 del 22 dicembre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Selon l'art. 10 al. 2 de la loi d'application de la loi fédérale sur les étrangers du 16 juin 1988 (LaLEtr - F 2 10), la chambre administrative doit statuer dans les dix jours qui suivent sa saisine. Ayant reçu le recours le 19 décembre 2023 et statuant ce jour, elle respecte ce délai. À teneur dudit art. 10 LaLEtr, elle est compétente pour apprécier l’opportunité des décisions portées devant elle en cette matière (al. 2 2ème phr.) ; elle peut confirmer, réformer ou annuler la décision attaquée ; le cas échéant, elle ordonne la mise en liberté de l’étranger (al. 3 1ère phr.). 3. Le recourant conclut principalement à l’annulation de la prolongation de sa détention administrative pour une durée de deux mois et à sa mise en liberté immédiate. 3.1 La détention administrative porte une atteinte grave à la liberté personnelle et ne peut être ordonnée que dans le respect de l'art. 5 CEDH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 3.2 Selon l'art. 76 al. 1 let. b ch. 1 LEI, qui renvoie notamment à l'art. 75 al. 1 let. g et h LEI, l'autorité compétente peut mettre en détention afin d'assurer l'exécution d’un renvoi ou d'expulsion la personne condamnée pour crime (let. h) ou la personne qui menace sérieusement d’autres personnes ou met gravement en danger leur vie ou leur intégrité corporelle et fait l’objet d’une poursuite pénale ou a été condamnée pour ce motif (let. g). 3.3 En l’espèce, la chambre de céans a déjà constaté dans les arrêts ATA/216/2023 du 7 mars 2023, ATA/694/2023 du 26 juin 2023 et ATA/1058/2023 du 26 septembre 2023 que le recourant a fait l’objet d’une décision d’expulsion pénale de la CPAR le 10 mars 2020. Il a, par ailleurs, été condamné pour brigandages (ordonnance du Ministère public genevois du 29 août 2016 pour des faits du 27 août 2016 et arrêt de la CPAR du 10 mars 2020 pour des faits du 19 mars 2018) et recel (jugement du Ministère public de La Chaux-de- Fonds du 8 avril 2016 pour des faits du 3 novembre 2015), soit des infractions</w:t>
      </w:r>
    </w:p>
    <w:p>
      <w:r>
        <w:t>- 16/19 - A/3998/2023 constitutives de crimes. Les conditions légales précitées justifiant la détention administrative sont toujours remplies, ce que le recourant ne conteste d’ailleurs pas. Il n’est pas nécessaire d’analyser si les conditions de l’at. 75 al. 1 let. g LEI sont aussi respectées. 4. Le recourant se plaint de ce que la prolongation de sa détention administrative violerait le principe de la proportionnalité ainsi que l’art. 5 § 1 let. f CEDH. 4.1 Selon l’art. 5 § 1 let. f CEDH, toute personne a droit à la liberté et à la sûreté ; nul ne peut être privé de sa liberté, sauf, selon les voies légales, s’il s’agit de l’arrestation ou de la détention régulières d’une personne pour l’empêcher de pénétrer irrégulièrement dans le territoire, ou contre laquelle une procédure d’expulsion ou d’extradition est en cours. 4.2 Le principe de proportionnalité,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4.3 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4.4 La détention doit être levée notamment si l'exécution du renvoi ou de l'expulsion s'avère impossible pour des raisons juridiques ou matérielles (art. 80 al. 6 let. a LEI).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 4.5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LEI, est a fortiori valable dans un cas de détention en vue du renvoi, phase à laquelle s’applique l’obligation de collaborer de l’art. 90 al. 1 let. c LEI (ATA/1436/2017 du 27 octobre 2017 consid.6a ; ATA/881/2015 du 28 août 2015 et les références citées).</w:t>
      </w:r>
    </w:p>
    <w:p>
      <w:r>
        <w:t>- 17/19 - A/3998/2023 4.6 Les démarches nécessaires à l'exécution du renvoi ou de l'expulsion doivent être entreprises sans tarder (art. 76 al. 4 LEI ; « principe de célérité ou de diligence »). Il s'agit d'une condition à laquelle la détention est subordonnée (arrêt du Tribunal fédéral 2A.581/2006 du 18 octobre 2006 ; ATA/1305/2022 du 21 décembre 2022 consid. 4d ; ATA/611/2021 du 8 juin 2021 consid. 5a).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(ATF 139 I 206 consid. 2.1). 4.7 En l’espèce, le recourant soutient que son renvoi serait impossible, faute pour les négociations entre autorités suisses et B______ d’aboutir à la délivrance d’un laissez-passer. Il ne peut être suivi. L’OCPM a indiqué dans sa réponse que les négociations se poursuivaient. À cela s’ajoute, comme l’a relevé l’OCPM, que le recourant a la possibilité d’abréger sa détention en acceptant de rentrer au B______ et d’embarquer dans le prochain vol régulier sur lequel une place pourrait lui être réservée. La chambre de céans relèvera encore que c’est parce que le recourant a pris contact avec le Consulat du B______ pour faire valoir sa relation avec son fils que celui-ci s’est soudain montré réticent à délivrer un laissez-passer, ce qui a obligé les autorités suisses à entreprendre des démarches diplomatiques pour lui apporter des éclaircissements. Or, la compétence de décider du droit du recourant de séjourner en Suisse appartient en l’espèce aux autorités suisses exclusivement, ce que le recourant ne peut ignorer. Sa démarche en direction de son consulat, à l’effet de contrarier sur le plan diplomatique l’exécution de sa réadmission, peut être considérée comme une manœuvre, de sorte que se prévaloir de la réticence qu’il a lui-même suscitée relève de la mauvaise foi. Le recourant fait encore valoir qu’une assignation à résidence chez sa tante serait plus proportionnée et reproche au TAPI de ne pas avoir examiné cette alternative. En réalité, le TAPI s’est expressément référé aux précédents jugements et arrêts, qui excluaient cette solution. Ceux-ci ont notamment relevé, la dernière fois le 26 septembre 2023, le refus constant du recourant d’être renvoyé vers le B______ et son défaut de coopération, lesquels justifient non seulement sa détention, mais également la prolongation de celle-ci pour une durée totale pouvant aller jusqu’à 18 mois. Il n’est pas douteux que l’intérêt public à s’assurer que le recourant embarquera le moment venu dans le vol devant le rapatrier prime toujours, en l’espèce, son intérêt privé à être remis en liberté ou assigné à résidence. Compte tenu de sa volonté de se soustraire à son renvoi au B______, il ne peut être envisagé d’assigner le recourant à résidence.</w:t>
      </w:r>
    </w:p>
    <w:p>
      <w:r>
        <w:t>- 18/19 - A/3998/2023 Le recourant ne soutient pas pour le surplus, à juste titre, que les autorités n’auraient pas agi de façon diligente. Entièrement mal fondé, le recours sera rejeté.</w:t>
      </w:r>
    </w:p>
    <w:p>
      <w:r>
        <w:rPr>
          <w:b/>
        </w:rPr>
        <w:t>E. 5</w:t>
      </w:r>
    </w:p>
    <w:p>
      <w:r>
        <w:t>La procédure étant gratuite, aucun émolument ne sera perçu (art. 87 al. 1 LPA cum art. 11 du règlement sur les frais, émoluments et indemnités en procédure administrative du 30 juillet 1986 - RFPA - E 5 10.03).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