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ATA/1386/2017 vom 10. Oktober 2017</w:t>
      </w:r>
    </w:p>
    <w:p>
      <w:r>
        <w:t>GE Cour de justice, 2017-10-10, FR</w:t>
      </w:r>
    </w:p>
    <w:p>
      <w:r>
        <w:rPr>
          <w:b/>
        </w:rPr>
        <w:t xml:space="preserve">Quelle: </w:t>
      </w:r>
      <w:r>
        <w:t>https://mcp.opencaselaw.ch/entscheid/ge_gerichte_ATA_1386_2017</w:t>
      </w:r>
    </w:p>
    <w:p>
      <w:r>
        <w:t>FR: GE_GERICHTE ATA/1386/2017 du 10 octobre 2017</w:t>
      </w:r>
    </w:p>
    <w:p>
      <w:r>
        <w:t>IT: GE_GERICHTE ATA/1386/2017 del 10 ottobre 2017</w:t>
      </w:r>
    </w:p>
    <w:p>
      <w:pPr>
        <w:pStyle w:val="Heading2"/>
      </w:pPr>
      <w:r>
        <w:t>Erwägungen</w:t>
      </w:r>
    </w:p>
    <w:p>
      <w:r>
        <w:rPr>
          <w:b/>
        </w:rPr>
        <w:t>E. 26</w:t>
      </w:r>
    </w:p>
    <w:p>
      <w:r>
        <w:t>septembre 2010 - LOJ - E 2 05 ; art. 62 al. 1 let. a de la loi sur la procédure administrative du 12 septembre 1985 - LPA - E 5 10). 3)</w:t>
      </w:r>
    </w:p>
    <w:p>
      <w:r>
        <w:t>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4)</w:t>
      </w:r>
    </w:p>
    <w:p>
      <w:r>
        <w:t>Conformément à la jurisprudence de la chambre de céans, les exigences formelles posées par le législateur ont pour but de permettre à la juridiction administrative de déterminer l’objet du litige qui lui est soumis et de donner l’occasion à la partie intimée de répondre aux griefs formulés à son encontre (ATA/293/2016 précité consid. 3 ; ATA/1351/2015 précité consid. 3 ; ATA/1/2007 du 9 janvier 2007 ; ATA/632/2005 du 27 septembre 2005).</w:t>
      </w:r>
    </w:p>
    <w:p>
      <w:r>
        <w:t>Cette exigence est considérée comme remplie lorsque les motifs du recours, sans énoncer de conclusions formelles, permettent de comprendre aisément ce que le recourant désire (ATA/1/2007 précité ; ATA/807/2005 du 29 novembre 2005). En revanche, tel n’est pas le cas d’un recours sommaire se bornant, en matière de marchés publics, à invoquer des arguments techniques et de politique commerciale, n’indiquant au demeurant aucun moyen de preuve et ne fournissant aucune pièce (ATA/795/2005 du 22 novembre 2005). Tel n'est pas le cas non plus d'une facture d'électricité qui est contestée alors que l'on ne sait pas si son récipiendaire entend qu'elle soit annulée ou réduite, et qui mentionne par ailleurs dans ses écritures que la problématique est liée à une autre, non en jeu en l'espèce (ATA/543/2013 du 27 août 2013 consid. 4). Plus récemment encore, la chambre de céans a déclaré irrecevable un recours désigné comme tel mais ne contenant que des conclusions constatatoires non précisées sur demande du juge délégué</w:t>
      </w:r>
    </w:p>
    <w:p>
      <w:r>
        <w:t>- 5/6 - A/1909/2016 (ATA/293/2016 précité) ; un recours en matière de prestations complémentaires, dont on ne pouvait savoir s'il concernait également les prestations d'assistance, ce alors que la recourante n'avait pas répondu à une demande de précision de ses conclusions à cet égard (ATA/1351/2015 précité) ; ainsi qu'un recours rédigé en matière fiscale par un mandataire professionnel qualifié (ci-après : MPQ), et qui ne contenait que des conclusions constatatoires au lieu de conclusions formatrices (ATA/1206/2017 du 22 août 2017).</w:t>
      </w:r>
    </w:p>
    <w:p>
      <w:r>
        <w:t>Il faut à tout le moins que la partie recourante manifeste son désaccord avec la décision litigieuse et que l'acte attaqué soit explicitement cité dans ses écritures. Il serait contraire au texte même de la loi de renoncer à ces exigences minimales (ATA/293/2016 précité consid. 3 ; ATA/216/2013 du 4 avril 2013 consid. 4). 5)</w:t>
      </w:r>
    </w:p>
    <w:p>
      <w:r>
        <w:t>En l'espèce, le recours a été posté le dernier jour du délai. Il était rédigé par un MPQ. Pourtant il ne contient aucune conclusion concernant le jugement du TAPI, ce qui n'est pas admissible quand bien même il s'agissait de sauvegarder les délais. L'acte de recours réserve le complètement des motifs du recours – d'office et sans se préoccuper de savoir si la chambre administrative acquiescera à ce mode de faire – mais ne dit rien des conclusions.</w:t>
      </w:r>
    </w:p>
    <w:p>
      <w:r>
        <w:t>Or celles-ci doivent être contenues dans l'acte de recours sous peine d'irrecevabilité et, malgré la pratique souple de la chambre de céans à ce sujet, il n'est en l'espèce pas possible de savoir ce que souhaite le recourant et sur quels points il est en désaccord avec le jugement attaqué. 6)</w:t>
      </w:r>
    </w:p>
    <w:p>
      <w:r>
        <w:t>Il s'ensuit que le recours est manifestement irrecevable, et sera déclaré tel sans autre acte d'instruction, conformément à l'art. 72 LPA. 7)</w:t>
      </w:r>
    </w:p>
    <w:p>
      <w:r>
        <w:t>Vu l'issue du litige, un émolument de CHF 300.- sera mis à la charge du recourant,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