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ATA/1379/2017 vom 10. Oktober 2017</w:t>
      </w:r>
    </w:p>
    <w:p>
      <w:r>
        <w:t>GE Cour de justice, 2017-10-10, FR</w:t>
      </w:r>
    </w:p>
    <w:p>
      <w:r>
        <w:rPr>
          <w:b/>
        </w:rPr>
        <w:t xml:space="preserve">Quelle: </w:t>
      </w:r>
      <w:r>
        <w:t>https://mcp.opencaselaw.ch/entscheid/ge_gerichte_ATA_1379_2017</w:t>
      </w:r>
    </w:p>
    <w:p>
      <w:r>
        <w:t>FR: GE_GERICHTE ATA/1379/2017 du 10 octobre 2017</w:t>
      </w:r>
    </w:p>
    <w:p>
      <w:r>
        <w:t>IT: GE_GERICHTE ATA/1379/2017 del 10 ottobre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l'assujettissement à la LVEBA, en tant que « vente à l'emporter », des activités de la recourante de vente de boissons alcoolisées à domicile par le truchement d'internet.</w:t>
      </w:r>
    </w:p>
    <w:p>
      <w:r>
        <w:rPr>
          <w:b/>
        </w:rPr>
        <w:t>E. 3</w:t>
      </w:r>
    </w:p>
    <w:p>
      <w:r>
        <w:t>a. Comme l'a indiqué le PCTN – seulement au stade de sa réponse au recours, ce qui est regrettable –, cette question a déjà été tranchée en 2007 par l'ancien Tribunal administratif, dont la chambre de céans a repris en 2011 les attributions et, en principe, la jurisprudence.</w:t>
      </w:r>
    </w:p>
    <w:p>
      <w:r>
        <w:t>b. Dans cet arrêt (ATA/548/2007 du 30 octobre 2007, publié sur internet comme l'ensemble de la jurisprudence de la chambre de céans, sous www.ge.ch/justice &gt; dans la jurisprudence), le Tribunal administratif a notamment considéré que les cantons conservaient une compétence pour légiférer en matière de consommation d’alcool tant distillé que fermenté, notamment dans le but de protéger la santé publique et la jeunesse de la consommation excessive de produits alcoolisés, et pouvaient donc légiférer pour autant que les dispositions qu’ils édictent ainsi n’entravent pas les buts que le législateur fédéral entend poursuivre.</w:t>
      </w:r>
    </w:p>
    <w:p>
      <w:r>
        <w:t>c. Selon les dictionnaires de langue, la livraison de boissons alcooliques au domicile du consommateur s’opposait à la vente à l’emporter ainsi qu’à la consommation sur place. Le législateur cantonal paraissait néanmoins avoir donné une acception plus large à l’expression « à l’emporter » puisque selon l’exposé des motifs de la loi cantonale (MGC 2001/2002 XII 6715) « la vente à l’emporter de boissons alcooliques » visait également la distribution par automate ou par colportage, notamment dans les lieux fréquentés par les conducteurs de véhicules à moteur ou par les jeunes. Il convenait ainsi de retenir que le sens donné par la LVEBA à la « vente à l’emporter » comportait toutes les formes de transaction qui n’impliquent pas la consommation immédiate et sur place de boissons alcooliques.</w:t>
      </w:r>
    </w:p>
    <w:p>
      <w:r>
        <w:t>d. Si l’on examinait le but poursuivi par la LVEBA, soit la préservation de l’ordre public en particulier et de la santé publique, de tout trouble provoqué par le propriétaire ou l’exploitant d’un établissement vendant des boissons alcooliques ainsi qu’en raison de la construction, de l'aménagement et de l'implantation des locaux, il convient d’admettre que la vente de boissons alcooliques par l’unique biais de la livraison à domicile n’est pas de nature à troubler l’ordre ou la tranquillité publics. Par contre, le fait d’échapper à l’application de cette loi et singulièrement à celle de son art. 11, qui proscrit la vente de boissons alcooliques</w:t>
      </w:r>
    </w:p>
    <w:p>
      <w:r>
        <w:t>- 6/9 - A/3532/2016 de 21h00 à 07h00, pourrait être considérée comme de nature à contrecarrer le but de préservation de la santé publique poursuivi tant par le législateur cantonal que par celui fédéral. La consommation excessive de boissons alcoolisées était un danger concret menaçant l'ordre public et à propos duquel les cantons pouvaient prendre des mesures.</w:t>
      </w:r>
    </w:p>
    <w:p>
      <w:r>
        <w:t>e. De plus, l’intérêt public à la limitation de la consommation de boissons alcooliques obtenues soit par distillation, soit par fermentation était reconnu par le Tribunal fédéral (ATF 128 I 295 consid. 5a/bb). La soumission de la recourante à la LVEBA, et singulièrement à la disposition interdisant la vente de boissons alcooliques de 21h00 à 07h00, constituerait une mesure apte à produire le résultat escompté (règle de l'aptitude), soit une diminution de la consommation d'alcool. Il n'y avait guère de mesure moins incisive qu'une interdiction qui fût de nature à atteindre le même but (règle de la nécessité), même si la recourante annonçait sur son site internet sa volonté de ne pas vendre d’alcool ou de tabac à des mineurs. Il existait enfin un rapport raisonnable entre le but visé et l'intérêt privé compromis, soit celui de vendre des boissons alcooliques entre 21h00 et 07h00, dès lors que de nombreuses entreprises proposaient des produits alimentaires à l'emporter ou par voie de livraison sans que la vente de boissons alcooliques ne soit une condition de leur survie économique. Il convenait ainsi d'assimiler, du point de vue du but poursuivi et de l'intérêt protégé, la livraison de boissons alcooliques à la suite d'une commande électronique à une vente à l'emporter, même si la signification donnée à ce terme par le législateur cantonal pouvait ne pas correspondre au sens communément admis.</w:t>
      </w:r>
    </w:p>
    <w:p>
      <w:r>
        <w:t>f. Il en résultait que la recourante était soumise à la LVEBA et qu'il lui appartenait, en exécution de la décision querellée, de requérir une autorisation de vente en application de cette loi cantonale. À supposer qu'elle obtînt l'autorisation prévue par la LVEBA, la recourante serait notamment soumise aux limitations de l'horaire d'exploitation interdisant la vente de boissons alcooliques entre 21h00 et 07h00.</w:t>
      </w:r>
    </w:p>
    <w:p>
      <w:r>
        <w:rPr>
          <w:b/>
        </w:rPr>
        <w:t>E. 4</w:t>
      </w:r>
    </w:p>
    <w:p>
      <w:r>
        <w:t>a. Les dispositions pertinentes de la LVEBA n'ayant pas changé depuis 2007, si ce n'est deux renvois législatifs à l'art. 11 al. 1 LVEBA (L 10'179, entrée en vigueur le 1er juillet 2009, avec le remplacement d'un seul mot dans un renvoi législatif, MGC 2008/2009/VI D/31 3544 ; et L 11'282-1, entrée en vigueur le 1er janvier 2016, avec un second renvoi législatif), la chambre de céans ne voit pas de raison de revenir sur l'interprétation développée dans l'ATA/548/2007.</w:t>
      </w:r>
    </w:p>
    <w:p>
      <w:r>
        <w:t>b. Ceci est du reste d'autant moins le cas que la jurisprudence récente du Tribunal fédéral n'a pas censuré une telle interprétation similaire du Tribunal cantonal vaudois. En effet, dans un arrêt portant sur le recours d'une société vaudoise dont l'activité consistait en la vente de vin par correspondance, le Tribunal a retenu ce qui suit : « L'art. 24 de la loi vaudoise du 26 mars 2002 sur les auberges et débits de boissons (LADB/VD - RS/VD 935.31) dispose que</w:t>
      </w:r>
    </w:p>
    <w:p>
      <w:r>
        <w:t>- 7/9 - A/3532/2016 l'exploitation d'un débit de boissons alcooliques à l'emporter est soumise à l'obtention d'une autorisation simple au sens de l'art. 4 LADB/VD, qui permet la vente au détail de boissons alcooliques. Après avoir relevé que les travaux préparatoires de la LADB/VD ne contenaient pas de définition du terme "à l'emporter", le Tribunal cantonal a considéré que, si "on se réfère toutefois aux buts énoncés à l'art. 1 de la loi, on constate qu'en font partie notamment la sauvegarde de l'ordre et la tranquillité publics (let. b) ainsi que la protection des consommateurs et à la vie sociale (let. d). D'autres dispositions de la loi manifestent également le souci de prévenir la consommation excessive d'alcool ainsi que de tenir les mineurs à l'écart de ce produit (art. 50 et 51 LADB/VD). L'art. 2 de la loi concrétise ces buts en soumettant à autorisation diverses formes de livraison et service de boissons". L'autorité précédente examine ensuite la liste des exceptions de l'art. 3 LADB/VD pour conclure que "la vente par correspondance permet un accès facilité aux boissons alcooliques" et qu'il "serait contraire au but et à l'esprit de la loi de permettre par ce biais une vente de boissons alcooliques sans autorisation".</w:t>
      </w:r>
    </w:p>
    <w:p>
      <w:r>
        <w:t>Elle relève que la vente par correspondance implique certes un délai d'attente entre la livraison et la possibilité de consommer la boisson, mais que cet "élément ne suffit toutefois pas à rendre sans risque ce type de vente et ne doit pas conduire à ce qu'elle puisse être effectuée en l'absence de toute autorisation". Une telle interprétation, sur la base des seuls griefs valablement invoqués et dans un cas de constatation de soumission à une autorisation de vente de boissons alcooliques à des particuliers, n'est pas arbitraire, même si, au vu du but de la loi en vigueur au jour de l'arrêt cantonal, une autre solution aurait été concevable, voire préférable. Il est en effet soutenable de considérer que la livraison de boissons alcooliques peut engendrer une consommation excessive d'alcool, qu'il convient de prévenir. L'interprétation donnée par les autorités cantonales à la LADB/VD, selon laquelle la vente par correspondance de telles boissons nécessite également une autorisation simple fondée sur la LADB/VD, n'est ainsi pas arbitraire. Par conséquent, en tant que le recours porte sur cette interprétation, celui-ci doit être rejeté » (arrêt du Tribunal fédéral 2C_655/2015 du 22 juin 2016, consid. 3.2 non publié aux ATF 142 I 155).</w:t>
      </w:r>
    </w:p>
    <w:p>
      <w:r>
        <w:rPr>
          <w:b/>
        </w:rPr>
        <w:t>E. 5</w:t>
      </w:r>
    </w:p>
    <w:p>
      <w:r>
        <w:t>Au vu de ce qui précède, la décision attaquée repose sur une base légale (arrêt du Tribunal fédéral 2C_809/2015 du 16 février 2016 consid. 4.1). Quant à l'intérêt public et au caractère proportionné de l'art. 11 al. 1 LVEBA, ils ont été admis par le Tribunal fédéral en 2005 déjà (arrêt du Tribunal fédéral 2P.278/2004 du 4 avril 2005). S'agissant de l'obligation d'obtenir une autorisation pour exercer son activité de vente de boissons alcoolisées (art. 5 al. 1 LVEBA), il s'agit là d'une atteinte légère à la liberté économique, justifiée par la santé publique, et restant dans un rapport raisonnable avec le but poursuivi.</w:t>
      </w:r>
    </w:p>
    <w:p>
      <w:r>
        <w:rPr>
          <w:b/>
        </w:rPr>
        <w:t>E. 6</w:t>
      </w:r>
    </w:p>
    <w:p>
      <w:r>
        <w:t>Mal fondé, le recours sera donc rejeté.</w:t>
      </w:r>
    </w:p>
    <w:p>
      <w:r>
        <w:t>- 8/9 - A/3532/2016</w:t>
      </w:r>
    </w:p>
    <w:p>
      <w:r>
        <w:rPr>
          <w:b/>
        </w:rPr>
        <w:t>E. 7</w:t>
      </w:r>
    </w:p>
    <w:p>
      <w:r>
        <w:t>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