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ATA/1371/2017 vom 10. Oktober 2017</w:t>
      </w:r>
    </w:p>
    <w:p>
      <w:r>
        <w:t>GE Cour de justice, 2017-10-10, FR</w:t>
      </w:r>
    </w:p>
    <w:p>
      <w:r>
        <w:rPr>
          <w:b/>
        </w:rPr>
        <w:t xml:space="preserve">Quelle: </w:t>
      </w:r>
      <w:r>
        <w:t>https://mcp.opencaselaw.ch/entscheid/ge_gerichte_ATA_1371_2017</w:t>
      </w:r>
    </w:p>
    <w:p>
      <w:r>
        <w:t>FR: GE_GERICHTE ATA/1371/2017 du 10 octobre 2017</w:t>
      </w:r>
    </w:p>
    <w:p>
      <w:r>
        <w:t>IT: GE_GERICHTE ATA/1371/2017 del 10 ottobre 2017</w:t>
      </w:r>
    </w:p>
    <w:p>
      <w:pPr>
        <w:pStyle w:val="Heading2"/>
      </w:pPr>
      <w:r>
        <w:t>Erwägungen</w:t>
      </w:r>
    </w:p>
    <w:p>
      <w:r>
        <w:rPr>
          <w:b/>
        </w:rPr>
        <w:t>E. 12</w:t>
      </w:r>
    </w:p>
    <w:p>
      <w:r>
        <w:t>septembre 1985 - LPA - E 5 10). 2)</w:t>
      </w:r>
    </w:p>
    <w:p>
      <w:r>
        <w:t>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w:t>
      </w:r>
    </w:p>
    <w:p>
      <w:r>
        <w:t>- 8/13 - A/1206/2016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 3) a.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b.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4)</w:t>
      </w:r>
    </w:p>
    <w:p>
      <w:r>
        <w:t>Selon la jurisprudence fédérale,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 5)</w:t>
      </w:r>
    </w:p>
    <w:p>
      <w:r>
        <w:t>En l'espèce, le recourant a été reconnu coupable de lésions corporelles simples aggravées, de voies de fait aggravées, de menaces, de séquestration et de contrainte sexuelle et a été condamné à une peine privative de liberté de trois ans prononcée avec sursis à raison de dix-huit mois par arrêt de la chambre pénale du 11 juin 2014. Il remplit manifestement les conditions permettant la révocation de son autorisation d'établissement au sens de l'art. 62 let. b LEtr en lien avec l'art. 63 al. 2 LEtr.</w:t>
      </w:r>
    </w:p>
    <w:p>
      <w:r>
        <w:t>Les arguments d'intérêt public en faveur de l'éloignement de Suisse du recourant sont clairs. Il convient toutefois d’examiner si la décision querellée respecte le principe de la proportionnalité, soit si les intérêts privés du recourant à rester en Suisse l'emportent sur l'intérêt public à son éloignement. 6)</w:t>
      </w:r>
    </w:p>
    <w:p>
      <w:r>
        <w:t>Même lorsqu'un motif de révocation de l'autorisation est réalisé, le prononcé de la révocation ne se justifie que si la pesée des intérêts à effectuer dans le cas</w:t>
      </w:r>
    </w:p>
    <w:p>
      <w:r>
        <w:t>- 9/13 - A/1206/2016 d'espèce fait apparaître la mesure comme proportionnée aux circonstances (ATF 135 II 377 consid. 4.3 ; arrêt du Tribunal fédéral 2C_19/2011 du 27 septembre 2011 consid. 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 2.2.1 ; arrêt du Tribunal fédéral 2C_1103/2013 du 26 juillet 2014 consid. 5.3).</w:t>
      </w:r>
    </w:p>
    <w:p>
      <w:r>
        <w:t>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La durée de présence en Suisse d'un étranger constitue un autre critère très important. Plus cette durée est longue, plus les conditions pour prononcer l'expulsion administrative doivent être appréciées restrictivement (ATF 135 II 377 consid. 4.4 et 4.5, principe que le Tribunal fédéral vient de rappeler dans un arrêt du 2 novembre 2016 [arrêt du Tribunal fédéral 2C_94/2016] ; arrêt du Tribunal fédéral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CourEDH Trabelsi c. Allemagne du 13 octobre 2011). 7)</w:t>
      </w:r>
    </w:p>
    <w:p>
      <w:r>
        <w:t>En l'espèce, les infractions ayant conduit à la détention du recourant lèsent des biens juridiques de la plus haute importance, à savoir la liberté, l'intégrité physique, psychique et sexuelle, l’intéressé ayant été reconnu coupable notamment de séquestration et de contrainte sexuelle. La chambre pénale a de même retenu que la faute du recourant était lourde. Il s’en était pris à l’intégrité physique et psychique de son ex-compagne et avait également porté atteinte à sa libre détermination en matière sexuelle et à sa liberté de mouvement. Les faits</w:t>
      </w:r>
    </w:p>
    <w:p>
      <w:r>
        <w:t>- 10/13 - A/1206/2016 litigieux se sont déroulés entre juin 2010 et août 2011, soit il y a plus de six ans. Il ressort de l'expertise psychiatrique du 22 juin 2012 que, compte tenu de la nature passionnelle et tumultueuse de la relation du couple et de la réaction d’acceptation après la séparation, le recourant ne démontrait pas une dangerosité significative. Le risque de récidive ne pouvait être totalement écarté. Selon les divers rapports établis par le psychologue et le secteur criminologique des établissements de Bellechasse entre octobre 2015 et janvier 2016, l’intéressé était dans le déni des faits qui lui étaient reprochés et considérait ne pas avoir besoin d’un traitement thérapeutique alors que celui-ci était préconisé, afin précisément d’éviter un risque de récidive. Lors de l’audience de comparution personnelle des parties du 26 janvier 2017, l’intéressé a précisé que, de l’avis du psychologue de Bellechasse, le traitement était terminé avec sa sortie. Il ne faisait dès lors plus l’objet d’un suivi. En l’état actuel, rien n’indique que le recourant ne soit plus dans le déni. Il ne bénéficie plus d’aucun suivi. Toutefois, en l’état, le risque de récidive reste peu marqué, le recourant n’ayant plus aucun contact avec son ancienne compagne, ce que l’intimé ne conteste pas.</w:t>
      </w:r>
    </w:p>
    <w:p>
      <w:r>
        <w:t>Concernant son degré d'intégration, le recourant est arrivé en Suisse à l’âge de 22 ans. Aujourd’hui âgé de 48 ans, il a donc passé au Kosovo un peu moins de la moitié de son existence, mais en particulier son enfance, son adolescence et une partie de sa vie d’adulte, années essentielles pour la formation de la personnalité et une intégration sociale et culturelle. Sur le plan familial, se trouve en Suisse sa belle-famille, à savoir la mère et le frère de son épouse dans le canton de Fribourg, ainsi que son beau-frère. À l’inverse, plusieurs membres de sa famille demeurent au Kosovo, notamment ses parents et son épouse. Le recourant fait montre d’une relative intégration, parle le français et a entrepris toutes les démarches nécessaires pour, à sa sortie de prison, trouver un emploi et un logement, ce qui est louable. Sur le plan professionnel, l’intéressé a pu produire un contrat de travail. Toutefois, ce critère, examiné sur toute la période vécue en Suisse ne permet pas de retenir une intégration particulière. Il n’a pas eu d’emploi stable depuis 2007, malgré un certificat de cafetier restaurateur obtenu en 2003. Il a par ailleurs dû recourir à l’hospice et a ainsi perçu, depuis septembre 2011 CHF 134'418.- de l’hospice. Il est par ailleurs régulièrement retourné au Kosovo, la dernière fois il y a quelques mois seulement. Le Kosovo n’est en conséquence pas pour lui un pays totalement étranger même si, comme l’indique le recourant, il se sent étranger tant en Suisse qu’au Kosovo, mais « un peu plus là-bas ».</w:t>
      </w:r>
    </w:p>
    <w:p>
      <w:r>
        <w:t>Le recourant bénéficie aujourd’hui de sa pleine capacité de travail. En cas de retour au Kosovo, il pourra mettre en valeur les expériences acquises lors des différents stages entrepris en Suisse, lors de ses emplois ou le certificat de cafetier-restaurateur qu’il a obtenu. Il pourra par ailleurs compter sur le soutien de son épouse et de ses proches.</w:t>
      </w:r>
    </w:p>
    <w:p>
      <w:r>
        <w:t>- 11/13 - A/1206/2016</w:t>
      </w:r>
    </w:p>
    <w:p>
      <w:r>
        <w:t>L’intérêt privé du recourant, sans être nié après avoir passé vingt-cinq ans en Suisse ne peut toutefois primer, compte tenu de ce qui précède, l’intérêt public à son renvoi, lequel est conforme au principe de la proportionnalité. 8)</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le recourant n’a jamais allégué que son retour au Kosovo serait impossible, illicite ou inexigible au regard de l’art. 83 LEtr, le dossier ne laissant pas apparaître d’éléments qui tendraient à démontrer le contraire. C’est ainsi à bon droit que son renvoi a été prononcé.</w:t>
      </w:r>
    </w:p>
    <w:p>
      <w:r>
        <w:t>Compte tenu de ce qui précède, le recours sera rejeté. 9)</w:t>
      </w:r>
    </w:p>
    <w:p>
      <w:r>
        <w:t>Vu l’issue de la procédure, un émolument de CHF 400.-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