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ATA/136/2026 vom 3. Februar 2026</w:t>
      </w:r>
    </w:p>
    <w:p>
      <w:r>
        <w:t>GE Cour de justice, 2026-02-03, FR</w:t>
      </w:r>
    </w:p>
    <w:p>
      <w:r>
        <w:rPr>
          <w:b/>
        </w:rPr>
        <w:t xml:space="preserve">Quelle: </w:t>
      </w:r>
      <w:r>
        <w:t>https://mcp.opencaselaw.ch/entscheid/ge_gerichte_ATA_136_2026</w:t>
      </w:r>
    </w:p>
    <w:p>
      <w:r>
        <w:t>FR: GE_GERICHTE ATA/136/2026 du 3 février 2026</w:t>
      </w:r>
    </w:p>
    <w:p>
      <w:r>
        <w:t>IT: GE_GERICHTE ATA/136/2026 del 3 febbraio 2026</w:t>
      </w:r>
    </w:p>
    <w:p>
      <w:pPr>
        <w:pStyle w:val="Heading2"/>
      </w:pPr>
      <w:r>
        <w:t>Erwägungen</w:t>
      </w:r>
    </w:p>
    <w:p>
      <w:r>
        <w:rPr>
          <w:b/>
        </w:rPr>
        <w:t>E. 1</w:t>
      </w:r>
    </w:p>
    <w:p>
      <w:r>
        <w:t>La chambre de céans examine d'office la recevabilité des recours qui lui sont soumis (ATA/91/2023 du 31 janvier 2023 consid. 1 ; ATA/139/2021 du 9 février 2021 consid. 2).</w:t>
      </w:r>
    </w:p>
    <w:p>
      <w:r>
        <w:rPr>
          <w:b/>
        </w:rPr>
        <w:t>E. 1.1</w:t>
      </w:r>
    </w:p>
    <w:p>
      <w:r>
        <w:t>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w:t>
      </w:r>
    </w:p>
    <w:p>
      <w:r>
        <w:t>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(ATA/3/2026 du 6 janvier 2026 consid. 1.2). Une requête en annulation d’une décision doit par exemple être déclarée recevable dans la mesure où le recourant a, de manière suffisante, manifesté son désaccord avec la décision ainsi que sa volonté qu’elle ne développe pas d’effets juridiques (ATA/1385/2025 du 10 décembre 2025 consid. 1.1).</w:t>
      </w:r>
    </w:p>
    <w:p>
      <w:r>
        <w:rPr>
          <w:b/>
        </w:rPr>
        <w:t>E. 1.2</w:t>
      </w:r>
    </w:p>
    <w:p>
      <w:r>
        <w:t>Les parties sont tenues de collaborer à la constatation des faits dans les procédures qu’elles introduisent elles-mêmes, dans celles où elles y prennent des conclusions indépendantes ainsi que dans les autres cas prévus par la loi (art. 22 LPA).</w:t>
      </w:r>
    </w:p>
    <w:p>
      <w:r>
        <w:rPr>
          <w:b/>
        </w:rPr>
        <w:t>E. 1.3</w:t>
      </w:r>
    </w:p>
    <w:p>
      <w:r>
        <w:t>L’autorité peut déclarer irrecevables les conclusions des parties qui refusent de produire les pièces et autres renseignements indispensables pour que l’autorité puisse prendre sa décision (art. 24 al. 2 LPA).</w:t>
      </w:r>
    </w:p>
    <w:p>
      <w:r>
        <w:rPr>
          <w:b/>
        </w:rPr>
        <w:t>E. 1.4</w:t>
      </w:r>
    </w:p>
    <w:p>
      <w:r>
        <w:t>En l'espèce, l'acte de recours ne contenait aucune conclusion et surtout ne donnait aucun motif susceptible de remettre en cause la décision, ne demandant que l’administration d’un moyen de preuve. La chambre de céans a imparti plusieurs délais au recourant pour compléter son recours, en mentionnant par deux fois le risque d'irrecevabilité du recours en cas d'absence de réponse. Malgré cela, le recourant n’a, à ce jour, pas procédé aux</w:t>
      </w:r>
    </w:p>
    <w:p>
      <w:r>
        <w:t>- 4/5 - A/3908/2025 éclaircissements demandés, si bien que ce dernier doit être déclaré irrecevable, sans échange d'écritures conformément à l'art. 72 LPA.</w:t>
      </w:r>
    </w:p>
    <w:p>
      <w:r>
        <w:t>De surcroît, le recourant ne semble pas avoir payé l’avance de frais dans le délai imparti au 17 janvier 2026, étant rappelé que l’assistance juridique lui a été refusée.</w:t>
      </w:r>
    </w:p>
    <w:p>
      <w:r>
        <w:rPr>
          <w:b/>
        </w:rPr>
        <w:t>E. 2</w:t>
      </w:r>
    </w:p>
    <w:p>
      <w:r>
        <w:t>À titre exceptionnel, il ne sera pas perçu d’émolument (art. 87 al. 1 LPA) ; vu l’issue du litige, il n’y a pas lieu à l’allocation d’une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