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ATA/1360/2023 vom 19. Dezember 2023</w:t>
      </w:r>
    </w:p>
    <w:p>
      <w:r>
        <w:t>GE Cour de justice, 2023-12-19, FR</w:t>
      </w:r>
    </w:p>
    <w:p>
      <w:r>
        <w:rPr>
          <w:b/>
        </w:rPr>
        <w:t xml:space="preserve">Quelle: </w:t>
      </w:r>
      <w:r>
        <w:t>https://mcp.opencaselaw.ch/entscheid/ge_gerichte_ATA_1360_2023</w:t>
      </w:r>
    </w:p>
    <w:p>
      <w:r>
        <w:t>FR: GE_GERICHTE ATA/1360/2023 du 19 décembre 2023</w:t>
      </w:r>
    </w:p>
    <w:p>
      <w:r>
        <w:t>IT: GE_GERICHTE ATA/1360/2023 del 19 dicembre 2023</w:t>
      </w:r>
    </w:p>
    <w:p>
      <w:pPr>
        <w:pStyle w:val="Heading2"/>
      </w:pPr>
      <w:r>
        <w:t>Regeste</w:t>
      </w:r>
    </w:p>
    <w:p>
      <w:r>
        <w:t>Résumé: Décision de la commune refusant de réduire les horaires d'exploitation des terrasses de treize établissements publics en relation avec lesquels l'association de riverains recourante se plaint des nuisances sonores. Pour prononcer la décision litigieuse, la ville de Genève ne s'est pas concertée avec le SABRA, alors que la mesure sollicitée relevait de la LRDBHD et de la protection de l'environnement. Recours admis, décision annulée et cause renvoyée à la commune pour instruction complémentaire et nouvelle décision en concertation avec le SABRA et l’instance compétente pour la délivrance de l’autorisation d’exploiter les établissements concernés, l’horaire d’exploitation des terrasses étant obligatoirement inclus dans celui de l’établissement lui-même.</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litige porte sur la conformité au droit de la décision de la ville de ne pas procéder à la réduction des horaires d’exploitation des terrasses des treize établissements publics visés par les plaintes déposées par les recourantes les 25 juillet 2020 et 30 mars 2022, instruites conjointement par la ville. 3. La question de l’appel en cause des exploitants des établissement publics visés a été posée par l’autorité intimée ainsi que celle du SABRA par les recourantes. 3.1 L’autorité peut ordonner, d’office ou sur requête, l’appel en cause de tiers dont la situation juridique est susceptible d’être affectée par l’issue de la procédure, la décision leur devient dans ce cas opposable (art. 71 al. 1 LPA). 3.2 En l’espèce, les mesures sollicitées par les recourantes, refusées par l’autorité intimée, correspondant à une modification des autorisations d’exploiter les terrasses des établissements, lesdits exploitants sont susceptibles d’être affectés par le présent litige. Néanmoins, il ne se justifie pas de les appeler en cause, vu ce qui suit et étant relevé qu’ils seront en leur qualité d’exploitants dans tous les cas parties à toute procédure ultérieure devant l’autorité intimée. L’appel en cause du SABRA n’est à l’évidence pas possible selon l’art. 71 al. 1 LPA, s’agissant d’une instance de préavis. 4. Les recourantes sollicitent plusieurs actes d’instruction. 4.1 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w:t>
      </w:r>
    </w:p>
    <w:p>
      <w:r>
        <w:t>- 11/16 - A/3644/2022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4.2 En l’espèce, les recourantes sollicitent la production par E______ des enregistrements sonores effectués entre le 2 et le 7 septembre 2020, un transport sur place, la production des préavis des services cantonaux et municipaux relatifs au requêtes d’installer des terrasses. Ces actes d’instructions ne sont pas nécessaires pour tranche le présent litige, vu ce qui suit. Il ne sera par conséquent pas donné suite aux demandes d’actes d’instruction des recourantes.</w:t>
      </w:r>
    </w:p>
    <w:p>
      <w:r>
        <w:rPr>
          <w:b/>
        </w:rPr>
        <w:t>E. 5</w:t>
      </w:r>
    </w:p>
    <w:p>
      <w:r>
        <w:t>Les recourantes font grief à la ville de n’avoir pas sollicité la détermination du SABRA, violant ainsi leur droit d’être entendues, de même que la maxime inquisitoire, les compétences particulières du SABRA et le principe de la bonne foi.</w:t>
      </w:r>
    </w:p>
    <w:p>
      <w:r>
        <w:rPr>
          <w:b/>
        </w:rPr>
        <w:t>E. 5.1</w:t>
      </w:r>
    </w:p>
    <w:p>
      <w:r>
        <w:t>L’exploitation d’un établissement public voué à la restauration et/ou au débit de boissons à consommer sur place est réglée par la LRDBHD qui vise à assurer la cohabitation de ces activités avec les riverains, notamment par leur intégration harmonieuse dans le tissu urbain, et à développer la vie sociale et culturelle et sa diversité, dans le respect de l’ordre public, en particulier la tranquillité, la santé, la sécurité et la moralité publiques (art. 1 al. 2 LRDBHD). Les dispositions notamment en matière de protection de l’environnement, de tranquillité publique, de protection du public contre les niveaux sonores élevés ainsi que de santé prévues par d’autres lois ou règlements sont réservées. Leur application ressortit aux autorités compétentes (art. 1 al. 4 LRDBHD). Au titre des conditions matérielles d'octroi des autorisations d'exploiter, la LRDBHD exige que l'activité concernée préserve la tranquillité publique et garantisse la protection du voisinage (art. 1 al. 2, 11 let. a et 24 al. 2 LRDBHD). Les exploitants doivent ainsi veiller à ce que leur activité n'engendre pas d'inconvénients pour le voisinage (art. 24 al. 2 LRDBHD).</w:t>
      </w:r>
    </w:p>
    <w:p>
      <w:r>
        <w:rPr>
          <w:b/>
        </w:rPr>
        <w:t>E. 5.2</w:t>
      </w:r>
    </w:p>
    <w:p>
      <w:r>
        <w:t>Selon l'art. 15 LRDBHD, les communes fixent les conditions d'exploitation propres à chaque terrasse, notamment les horaires, en tenant compte de la configuration des lieux, de la proximité et du type de voisinage, ainsi que de tout autre élément pertinent. L'horaire d'exploitation doit respecter les limites prévues par l'autorisation relative à l’entreprise, sans toutefois dépasser l'horaire maximal prévu par les articles 6 ou 7, al. 1 et 2 (al. 1). Les terrasses doivent être accessibles aux personnes avec handicap ou à mobilité réduite, à moins que cela n'occasionne des travaux et des coûts disproportionnés (al. 2). Pour des motifs d'ordre public et/ou en cas de violation des conditions d'exploitation visées aux alinéas 1 et 2, les</w:t>
      </w:r>
    </w:p>
    <w:p>
      <w:r>
        <w:t>- 12/16 - A/3644/2022 communes sont habilitées à prendre, pour ce qui touche à l'exploitation de la terrasse concernée, les mesures et sanctions prévues par la LRDBHD, lesquelles sont applicables par analogie (al. 3).</w:t>
      </w:r>
    </w:p>
    <w:p>
      <w:r>
        <w:rPr>
          <w:b/>
        </w:rPr>
        <w:t>E. 5.3</w:t>
      </w:r>
    </w:p>
    <w:p>
      <w:r>
        <w:t>Selon l'art. 24 LRDBHD, dont le titre est « maintien de l'ordre et de la tranquillité publique », l’exploitant doit veiller au maintien de l’ordre dans son établissement, qui comprend cas échéant sa terrasse, et prendre toutes les mesures utiles à cette fin (al. 1). Il doit exploiter l’entreprise de manière à ne pas engendrer d’inconvénients pour le voisinage (al. 2). Si l’ordre est troublé ou menacé de l’être, que ce soit dans son établissement, sur sa terrasse, ou encore, s’il l’a constaté, dans ses environs immédiats, l’exploitant doit faire appel à la police (al. 3). En cas de constat de troubles à l'ordre public ou de nuisances réitérés, le département peut exiger du propriétaire ou de l'exploitant qu'il organise à ses frais un service d'ordre adéquat afin que le maintien de l'ordre soit assuré (al. 4).</w:t>
      </w:r>
    </w:p>
    <w:p>
      <w:r>
        <w:rPr>
          <w:b/>
        </w:rPr>
        <w:t>E. 5.4</w:t>
      </w:r>
    </w:p>
    <w:p>
      <w:r>
        <w:t>Selon l'art. 31 al. 9 LRDBHD, lorsqu’elles sont vendues par des établissements au sens de la LRDBHD, les boissons alcooliques doivent être consommées uniquement dans l’établissement, cas échéant dans le périmètre de la terrasse de ce dernier, sous réserve d’une autorisation au sens de l’article 7 de la loi sur la remise à titre gratuit et la vente à l’emporter de boissons alcooliques, de produits du tabac et de produits assimilés au tabac, du 17 janvier 2020 (LTGVEAT – I 2 25).</w:t>
      </w:r>
    </w:p>
    <w:p>
      <w:r>
        <w:rPr>
          <w:b/>
        </w:rPr>
        <w:t>E. 5.5</w:t>
      </w:r>
    </w:p>
    <w:p>
      <w:r>
        <w:t>Selon l'art. 60 al. 1 LRDBHD, le département est l'autorité compétente pour décider des mesures et sanctions relatives à l'application de la LRDBHD. Sont réservées les dispositions spéciales de la LRDBHD qui désignent d'autres autorités, de même que les mesures et sanctions prévues par d'autres lois et règlements qui relèvent notamment des domaines visés à l'art. 1 al. 4.</w:t>
      </w:r>
    </w:p>
    <w:p>
      <w:r>
        <w:rPr>
          <w:b/>
        </w:rPr>
        <w:t>E. 5.6</w:t>
      </w:r>
    </w:p>
    <w:p>
      <w:r>
        <w:t>Pour des motifs d’ordre public et/ou en cas de violation des conditions d’exploitation des terrasses, les communes sont habilitées à prendre, pour ce qui touche à cette exploitation, les mesures et sanctions prévues par la LRDBH applicables par analogie (art. 15 al. 3 LRDBHD).</w:t>
      </w:r>
    </w:p>
    <w:p>
      <w:r>
        <w:rPr>
          <w:b/>
        </w:rPr>
        <w:t>E. 5.7</w:t>
      </w:r>
    </w:p>
    <w:p>
      <w:r>
        <w:t>Une terrasse d'établissement public, comme l’établissement lui-même, constitue une installation fixe dont l'exploitation produit du bruit extérieur. À ce titre, elle est soumise aux prescriptions du droit fédéral en matière de protection contre le bruit (art. 2 al. 1 de l'ordonnance sur la protection contre le bruit - OPB - RS 814.41 en relation avec l'art. 7 al. 7 de la loi fédérale sur la protection de l'environnement - LPE - RS 814.01). Aucune des annexes à l'OPB ne s'applique au bruit des établissements publics, de sorte que l'autorité compétente en matière de protection contre le bruit doit évaluer les immissions de bruit en se fondant directement sur les principes de l'art. 15 LPE et en tenant compte des art. 19 et 23 LPE (cf. art. 40 al. 3 OPB ; ATF 147 II 319</w:t>
      </w:r>
    </w:p>
    <w:p>
      <w:r>
        <w:t>- 13/16 - A/3644/2022 consid. 11.1 ; arrêt du Tribunal fédéral 1C_464/2022 du 3 juillet 2023 consid. 2.2). Conformément à l'art. 15 LPE, les valeurs limites d'immissions s'appliquant au bruit et aux vibrations sont fixées de sorte que, selon l'état de la science et l'expérience, les immissions inférieures à ces valeurs ne gênent pas de manière sensible la population dans son bien-être (ATF 147 II 319 consid. 11.1 ; arrêt 1C_368/2020 du 21 décembre 2022 consid. 4.1). Il convient alors de procéder à une appréciation au cas par cas en tenant compte du genre de bruit, du moment où il se produit, de la fréquence à laquelle il se répète, du niveau de bruit ambiant ainsi que des caractéristiques et du degré de sensibilité de la zone dans laquelle les immissions de bruit sont perçues (ATF 146 II 17 consid. 6.2 ; 133 II 292 consid. 3.3). L'art. 11 LPE prévoit, pour la limitation des émissions, un concept d'action à deux niveaux (cf. notamment, à propos de ce concept, ATF 128 II 378 consid. 6.2).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En outre, s'il appert ou s'il y a lieu de présumer que les atteintes, eu égard à la charge actuelle de l'environnement, seront nuisibles ou incommodantes, les émissions doivent être limitées plus sévèrement (second niveau, art. 11 al. 3 LPE). L'art. 12 al. 1 LPE énumère les différents instruments de limitation des émissions ; pour le bruit, il s'agit essentiellement d'appliquer des prescriptions en matière de construction, d'équipement, de trafic ou d'exploitation (art. 12 al. 1 let. b et c LPE). S'agissant plus particulièrement du bruit des établissements publics, la limitation des émissions peut être réalisée par l'application de prescriptions en matière d'exploitation, soit principalement par la fixation d'un horaire d'exploitation (ATF 130 II 32 consid. 2.1).</w:t>
      </w:r>
    </w:p>
    <w:p>
      <w:r>
        <w:rPr>
          <w:b/>
        </w:rPr>
        <w:t>E. 5.8</w:t>
      </w:r>
    </w:p>
    <w:p>
      <w:r>
        <w:t>Dans le canton de Genève, le SABRA est le service spécialisé en matière de protection contre le bruit, les vibrations et les rayonnements non ionisants (art. 4 al. 1 du règlement sur la protection contre le bruit et les vibrations du 12 février 2003 - RPBV - K 1 70.10).</w:t>
      </w:r>
    </w:p>
    <w:p>
      <w:r>
        <w:rPr>
          <w:b/>
        </w:rPr>
        <w:t>E. 5.9</w:t>
      </w:r>
    </w:p>
    <w:p>
      <w:r>
        <w:t>Dans son arrêt concernant la plainte de B______ déposée auprès du PCTN, la chambre administrative a retenu que cette autorité avait admis l’existence des nuisances alléguées et donc les infractions à l’art. 24 al. 2 LRDBHD. La cause a été renvoyée au PCTN pour instruction complémentaire et nouvelle décision sur la demande de limitation des horaires des treize établissements publics concernés. Ce renvoi était motivé par le fait que le dossier ne permettait pas de déterminer si le bruit extérieur était uniquement lié à l’exploitation des terrasses ou également à celle des treize établissements publics eux-mêmes.</w:t>
      </w:r>
    </w:p>
    <w:p>
      <w:r>
        <w:t>- 14/16 - A/3644/2022 En conséquence, le SABRA, service spécialisé compétent pour analyser la question des nuisances sonores, est à même de procéder à une analyse du bruit lié à l’exploitation des établissements publics eux-mêmes, par exemple par une analyse du bruit entre l’heure de fermeture des terrasses et celle des établissements, notamment le jeudi, jour de grande affluence, selon la présentation du SABRA, où les terrasses ferment, depuis l’entrée en vigueur du nouveau règlement de la ville, plus tôt que les établissements eux-mêmes, ce qui permettrait ensuite de déterminer si une mesure se justifie au niveau de l’exploitation des établissements eux-mêmes (ATA/145/2023 précité consid. 9).</w:t>
      </w:r>
    </w:p>
    <w:p>
      <w:r>
        <w:rPr>
          <w:b/>
        </w:rPr>
        <w:t>E. 5.10</w:t>
      </w:r>
    </w:p>
    <w:p>
      <w:r>
        <w:t>En l’espèce, le même raisonnement s’impose concernant la décision de la ville litigieuse ici, dans la mesure où la compétence de celle-ci pour fixer les horaires d’exploitation des terrasses correspond à celle du PCTN pour fixer ceux des établissements eux-mêmes, avec la précision que l’horaire fixé par la ville doit s’inscrire dans celui autorisé par le PCTN, l’exploitation de la terrasse étant entièrement dépendante de celle de l’établissement (art. 15 al. 1 LRDBHD). Il n’est notamment pas possible, à ce stade, en l’absence de concertation faite avec le SABRA, dont l’étude de bruit date de 2019, de déterminer si l’effet des modifications apportées par la ville à l’horaire des terrasses depuis le 1er juin 2022, a l’impact qu’elle lui prête. En conséquence, dans ces circonstances, le recours sera admis, la décision de la ville sera annulée et le dossier renvoyé à celle-ci pour nouvelles décisions qui seront rendues après que le PCTN aura rendu les décisions concernant les treize établissements concernés en concertation avec le SABRA.</w:t>
      </w:r>
    </w:p>
    <w:p>
      <w:r>
        <w:rPr>
          <w:b/>
        </w:rPr>
        <w:t>E. 6</w:t>
      </w:r>
    </w:p>
    <w:p>
      <w:r>
        <w:t>Nonobstant l’issue du litige, il ne sera pas perçu d’émolument, vu la qualité de l’intimée (art. 87 al. 1 2ème phrase LPA), et une indemnité de procédure de CHF 2'000.- sera allouée solidairement aux recourantes,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