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ATA/1359/2018 vom 18. Dezember 2018</w:t>
      </w:r>
    </w:p>
    <w:p>
      <w:r>
        <w:t>GE Cour de justice, 2018-12-18, FR</w:t>
      </w:r>
    </w:p>
    <w:p>
      <w:r>
        <w:rPr>
          <w:b/>
        </w:rPr>
        <w:t xml:space="preserve">Quelle: </w:t>
      </w:r>
      <w:r>
        <w:t>https://mcp.opencaselaw.ch/entscheid/ge_gerichte_ATA_1359_2018</w:t>
      </w:r>
    </w:p>
    <w:p>
      <w:r>
        <w:t>FR: GE_GERICHTE ATA/1359/2018 du 18 décembre 2018</w:t>
      </w:r>
    </w:p>
    <w:p>
      <w:r>
        <w:t>IT: GE_GERICHTE ATA/1359/2018 del 18 dicembre 2018</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du jugement du TAPI, lequel confirme la décision de l’autorité intimée refusant le renouvellement de l’autorisation de séjour de la recourante, prononçant son renvoi de Suisse et ordonnant l’exécution de cette mesure.</w:t>
      </w:r>
    </w:p>
    <w:p>
      <w:r>
        <w:rPr>
          <w:b/>
        </w:rPr>
        <w:t>E. 3</w:t>
      </w:r>
    </w:p>
    <w:p>
      <w:r>
        <w:t>La loi fédérale sur les étrangers du 16 décembre 2005 (LEtr - RS 142.20) et ses ordonnances d’exécution, en particulier l’ordonnance relative à l’admission,</w:t>
      </w:r>
    </w:p>
    <w:p>
      <w:r>
        <w:t>- 8/16 - A/3377/2016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l’Éthiopie.</w:t>
      </w:r>
    </w:p>
    <w:p>
      <w:r>
        <w:rPr>
          <w:b/>
        </w:rPr>
        <w:t>E. 4</w:t>
      </w:r>
    </w:p>
    <w:p>
      <w:r>
        <w:t>Après la dissolution de la famille, le droit du conjoint et des enfants à l’octroi d’une autorisation de séjour et à la prolongation de sa durée de validité en vertu des art. 42 et 43 LEtr subsiste lorsque l’union conjugale a duré au moins trois ans et que l’intégration est réussie (art. 50 al. 1 let. a LEtr et 77 al. 1 let. a OASA).</w:t>
      </w:r>
    </w:p>
    <w:p>
      <w:r>
        <w:t>En l’espèce, il n’est pas contesté que l’union conjugale de la recourante et son époux a duré moins de trois ans et que l’autorisation de séjour de celle-ci ne peut pas être renouvelée en application de l’art. 50 al. 1 let. a LEtr.</w:t>
      </w:r>
    </w:p>
    <w:p>
      <w:r>
        <w:rPr>
          <w:b/>
        </w:rPr>
        <w:t>E. 5</w:t>
      </w:r>
    </w:p>
    <w:p>
      <w:r>
        <w:t>a. Le droit au renouvellement de l’autorisation de séjour délivrée en vertu des art. 42 et 43 LEtr subsiste si la poursuite du séjour en Suisse s’impose pour des raisons personnelles majeures (art. 50 al. 1 let. b LEtr et 77 al. 1 let. b OASA).</w:t>
      </w:r>
    </w:p>
    <w:p>
      <w:r>
        <w:t>b. L’art. 50 al. 1 let. b et al. 2 LEtr a pour vocation d’éviter les cas de rigueur ou d’extrême gravité (ATF 137 II 1 consid. 3.1 ; arrêts du Tribunal fédéral 2C_500/2014 du 18 juillet 2014 consid. 7.1 ; 2C_165/2014 du 18 juillet 2014 consid. 3.1 ; 2C_220/2014 du 4 juillet 2014 consid. 2.3).</w:t>
      </w:r>
    </w:p>
    <w:p>
      <w:r>
        <w:t>L’énumération des cas de l’art. 50 al. 2 OASA n’est pas exhaustive et laisse aux autorités une certaine liberté d’appréciation fondée sur des motifs humanitaires (ATF 136 II 1 consid. 5.3). Un cas de rigueur survenant après la rupture de la communauté conjugale doit toutefois s’apprécier au vu de l’ensemble des circonstances particulières et présenter une intensité significative quant aux conséquences qu’un renvoi pourrait engendrer sur la vie privée et familiale de l’étranger (arrêts du Tribunal fédéral 2C_275/2013 du 1er août 2013 consid 3.1 ; 2C_781/2010 du 16 février 2011 consid. 2.2).</w:t>
      </w:r>
    </w:p>
    <w:p>
      <w:r>
        <w:t>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w:t>
      </w:r>
    </w:p>
    <w:p>
      <w:r>
        <w:t>- 9/16 - A/3377/2016 confère un droit à la poursuite du séjour en Suisse, contrairement à l’art. 30 al. 1 let. b LEtr (ATF 138 II 393 consid. 3.1 ; 137 II 345 consid. 3.2.1 ; 137 II 1 consid. 3 ; arrêt du Tribunal fédéral 2C_220/2014 précité consid. 2.3).</w:t>
      </w:r>
    </w:p>
    <w:p>
      <w:r>
        <w:t>c. D’après le message du Conseil fédéral du 8 mars 2002 concernant la LEtr, l’art. 50 al. 1 let. b LEtr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 137 II 345 consid. 3.2.1 à 3.2.3).</w:t>
      </w:r>
    </w:p>
    <w:p>
      <w:r>
        <w:rPr>
          <w:b/>
        </w:rPr>
        <w:t>E. 6</w:t>
      </w:r>
    </w:p>
    <w:p>
      <w:r>
        <w:t>Lors de l’examen des raisons personnelles majeures au sens de l’art. 50 al. 1 let. b LEtr,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w:t>
      </w:r>
    </w:p>
    <w:p>
      <w:r>
        <w:t>À teneur de l’art. 31 al. 1 OASA, une autorisation de séjour peut être octroyée dans les cas individuels d’extrême gravité.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w:t>
      </w:r>
    </w:p>
    <w:p>
      <w:r>
        <w:rPr>
          <w:b/>
        </w:rPr>
        <w:t>E. 7</w:t>
      </w:r>
    </w:p>
    <w:p>
      <w:r>
        <w:t>Des raisons personnelles majeures sont notamment données lorsque le conjoint est victime de violences conjugales (art. 50 al. 2 LEtr et 77 al. 2 OASA).</w:t>
      </w:r>
    </w:p>
    <w:p>
      <w:r>
        <w:t>a. S’agissant de la violence conjugale, elle peut être de nature tant physique que psychique. Les violences conjugales doivent revêtir une certaine intensité (ATF 138 II 393 consid. 3.1 ; 136 II 1 consid. 5.3). Il faut qu’il soit établi que l’on ne peut exiger plus longtemps de la personne admise dans le cadre du regroupement familial qu’elle poursuive l’union conjugale à cause de cette violence. Tel est le cas, lorsque la personnalité de l’étranger venu en Suisse au titre du regroupement familial est sérieusement menacée du fait de la vie commune et que la poursuite de l’union conjugale ne peut être raisonnablement exigée d’elle (arrêt du Tribunal fédéral 2C_554/2009 du 10 mars 2010 consid. 2.1 ; SEM, op. cit., ch. 6.15.3.4). La violence conjugale au sens de la LEtr</w:t>
      </w:r>
    </w:p>
    <w:p>
      <w:r>
        <w:t>- 10/16 - A/3377/2016 suppose des mauvais traitements systématiques à la victime pour affirmer sa supériorité et exercer un contrôle sur elle (ATF 138 II 229 consid. 3.2.2 ; arrêt du Tribunal fédéral 2C_295/2012 du 5 septembre 2012 consid. 3.2 ; SEM, Circulaire sur la violence conjugale, 12 avril 2013, n. 1.2). Une gifle ou le fait pour un époux étranger d’avoir été enfermé une fois dehors par son épouse ne suffisent pas (ATF 138 II 229 consid. 3.2.1 ; 136 II 1 consid. 5.4 ; arrêt du Tribunal fédéral 2C_783/2014 du 27 janvier 2015 consid. 3.2). Par ailleurs, un acte de violence isolé, mais particulièrement grave, peut à lui seul conduire à admettre l’existence de raisons personnelles majeures au sens de l’art. 50 al. 1 let. b et al. 2 LEtr (arrêts du Tribunal fédéral 2C_982/2010 du 3 mai 2011 consid. 3.3 et 2C_590/2010 du 29 novembre 2010 consid. 2.5.2). On ne saurait cependant considérer qu’une agression unique amenant la victime à consulter un médecin en raison de plusieurs griffures au visage et d’un état de détresse psychologique revête l’intensité requise par la loi lorsque s’opère par la suite un rapprochement du couple (arrêt du Tribunal fédéral 2C_783/2014 précité consid. 3.2).</w:t>
      </w:r>
    </w:p>
    <w:p>
      <w:r>
        <w:t>b. Dans un arrêt récent, se référant à un rapport du Bureau fédéral de l’égalité entre femmes et hommes relatif à la violence domestique, le Tribunal fédéral a rappelé que les formes de violence domestique et de contrôle subies dans le cadre des relations intimes ne sont pas faciles à classer dans des catégories déterminées, raison pour laquelle les investigations doivent prendre en compte les actes commis, l’expérience de violence vécue par la victime, ainsi que la mise en danger de sa personnalité et les répercussions sur celle-ci (santé, restrictions dans sa vie quotidienne). La jurisprudence a considéré que c’est en ce sens qu’il faut comprendre la notion de violence conjugale d’une certaine intensité au sens de l’art. 50 al. 1 let. b et al. 2 LEtr (arrêt du Tribunal fédéral 2C_777/2015 du 26 mai 2016 consid. 3.2 non publié in ATF 142 I 152 ; arrêts du Tribunal fédéral 2C_1085/2017 du 22 mai 2018 consid. 3.3 et 2C_649/2015 du 1er avril 2016 consid. 4.2).</w:t>
      </w:r>
    </w:p>
    <w:p>
      <w:r>
        <w:t>c. Sont notamment considérés comme indices de violences conjugales les certificats médicaux (let. a), les rapports de police (let. b), les plaintes pénales (let. c), les mesures au sens de l’art. 28b du code civil suisse du 10 décembre 1907 (CC - RS 210 ; let. d) et les jugements pénaux prononcés à ce sujet (let. e ; art. 77 al. 6 OASA). Lors de l’examen des raisons personnelles majeures, les autorités compétentes tiennent compte des indications et des renseignements fournis par des services spécialisés (art. 77 al. 6bis OASA).</w:t>
      </w:r>
    </w:p>
    <w:p>
      <w:r>
        <w:t>L’arrêt du Tribunal fédéral 2C_968/2012 précité exhorte la victime alléguant des violences à « illustrer de façon concrète et objective ainsi qu[’à] établir par preuves le caractère systématique de la maltraitance, respectivement sa durée, ainsi que les pressions subjectives qui en résultent » (consid. 3.2), tandis que l’ATF 138 II 229 exige que la situation de violence ou d’oppression domestique soit rendue vraisemblable d’une manière appropriée, notamment à</w:t>
      </w:r>
    </w:p>
    <w:p>
      <w:r>
        <w:t>- 11/16 - A/3377/2016 l’aide de rapports divers mais aussi d’avis d’experts ou de témoignages crédibles (consid. 3.2.3).</w:t>
      </w:r>
    </w:p>
    <w:p>
      <w:r>
        <w:t>Le Tribunal fédéral a récemment retenu que, certes, l’existence de violences conjugales, physiques et/ou psychiques, ne saurait être admise trop facilement, notamment pour des motifs de contrôle des flux migratoires. Cela explique pourquoi, en dépit de la possibilité (« peuvent ») qu’ont les autorités compétentes de demander d’office des preuves des violences alléguées (art. 77 al. 5 OASA), la prétendue victime est en tout état soumise à un devoir de coopération accru et doit étayer par preuves ses allégués de maltraitance (ATF 138 II 229 consid. 3.2.3 ; art. 90 LEtr). Il n’en reste pas moins, d’une part, que ces preuves pourront être apportées de différentes manières et à la faveur d’un faisceau d’indices convergents. D’autre part, l’autorité ne saurait rendre vaine l’obligation de l’État de protéger la dignité humaine ainsi que l’intégrité de l’époux étranger malmené par son conjoint. Une fois qu’elle a forgé sa conviction intime que le conjoint étranger a été victime de violences conjugales graves, l’autorité ne peut donc lui imposer des conditions disproportionnées pour demeurer en Suisse de ce fait (ATF 142 I 152 et les références citées).</w:t>
      </w:r>
    </w:p>
    <w:p>
      <w:r>
        <w:t>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(ATF 138 II 229 consid. 3.2.3 ; arrêt du Tribunal fédéral 2C_777/2015 du 26 mai 2016 consid. 3.3 non publié aux ATF 142 I 152).</w:t>
      </w:r>
    </w:p>
    <w:p>
      <w:r>
        <w:rPr>
          <w:b/>
        </w:rPr>
        <w:t>E. 8</w:t>
      </w:r>
    </w:p>
    <w:p>
      <w:r>
        <w:t>Selon la maxime inquisitoire, l’autorité définit les faits pertinents et ne tient pour existants que ceux qui sont dûment prouvés ; ladite maxime oblige notamment les autorités compétentes à prendre en considération d’office l’ensemble des pièces pertinentes qui ont été versées au dossier. En revanche, elle ne dispense pas les parties de collaborer à l’établissement des faits (art. 20 LPA ; arrêts 2C_787/2016 du 18 janvier 2017 consid. 3.1 et les références citées). Il incombe à celles-ci d’étayer leurs propres thèses, de renseigner le juge sur les faits de la cause et de lui indiquer les moyens de preuves disponibles, spécialement lorsqu’il s’agit d’élucider des faits qu’elles sont le mieux à même de connaître (ATF 140 I 285 consid. 6.3.1).</w:t>
      </w:r>
    </w:p>
    <w:p>
      <w:r>
        <w:t>En matière de droit des étrangers, l’art. 90 LEtr met un devoir spécifique de collaborer à la constatation des faits déterminants à la charge de l’étranger ou des tiers participants (arrêts du Tribunal fédéral 2C_787/2016 du 18 janvier 2017 consid. 3.1 et 2C_777/2015 précité consid. 3.3, non publié in ATF 142 I 152).</w:t>
      </w:r>
    </w:p>
    <w:p>
      <w:r>
        <w:rPr>
          <w:b/>
        </w:rPr>
        <w:t>E. 9</w:t>
      </w:r>
    </w:p>
    <w:p>
      <w:r>
        <w:t>En l’espèce, la recourante allègue avoir été victime de violences conjugales.</w:t>
      </w:r>
    </w:p>
    <w:p>
      <w:r>
        <w:t>- 12/16 - A/3377/2016</w:t>
      </w:r>
    </w:p>
    <w:p>
      <w:r>
        <w:t>Le dossier contient une attestation médicale ainsi qu’une attestation de dépôt de plainte pénale mais aucun jugement pénal. Il contient également un jugement de mesures protectrices de l’union conjugale et un arrêt de la chambre civile ainsi qu’un jugement de divorce.</w:t>
      </w:r>
    </w:p>
    <w:p>
      <w:r>
        <w:t>La recourante a été entendue par la chambre de céans au cours d’une comparution personnelle et a renoncé à faire comparaître des témoins.</w:t>
      </w:r>
    </w:p>
    <w:p>
      <w:r>
        <w:t>Il ressort des pièces figurant au dossier, ainsi que de l’audition de la recourante qu’elle aurait subi un seul épisode de violence de la part de son ex-époux, le 11 mai 2014, ayant donné lieu au constat médical du 12 mai 2014 et à la plainte pénale pour menaces et lésions corporelles simples.</w:t>
      </w:r>
    </w:p>
    <w:p>
      <w:r>
        <w:t>S’il n’est pas contesté qu’un acte de violence isolé, mais particulièrement grave puisse à lui seul conduire à admettre l’existence de raisons personnelles majeures, le Tribunal fédéral a rappelé que le devoir de collaboration des étrangers est important sur cette problématique. Ils doivent rendre l’existence d’une violence conjugale crédible, démontrer la répétition et l’intensité des atteintes en s’appuyant sur des preuves adéquates (ATF 138 II 299 consid. 3.2.3).</w:t>
      </w:r>
    </w:p>
    <w:p>
      <w:r>
        <w:t>En l’espèce, la recourante a admis elle-même pendant son audition qu’il « y avait de petites choses » avec son mari : il rentrait « alcoolisé » le soir et cela la dérangeait mais il n’y avait pas disputes ou de difficultés autres. Il ne l’avait jamais frappée. Quant aux pressions psychologiques qu’elle aurait subies, le fait qu’elle se serait acquittée régulièrement du loyer ne permet pas, en l’état, de retenir comme établies de telles pressions. Quand bien même une composante de pression économique ne semble pas étrangère à leur relation au vu de la réaction de l’époux, au refus de sa conjointe, tel qu’allégué par cette dernière, de s’engager, seule, pour un emprunt le concernant, les éléments contenus dans le dossier ne permettent pas, en tout état de cause, de retenir que la condition de gravité exigée par la jurisprudence pour les réprimandes ou menaces alléguées soit remplie.</w:t>
      </w:r>
    </w:p>
    <w:p>
      <w:r>
        <w:t>Quant à l’enfant de son ex-conjoint, dont la recourante ignorait, selon ses dires, l’existence et au fait que son ex-conjoint participait financièrement à son entretien, cette situation n’est pas assimilable en tant que telle à une situation d’oppression domestique.</w:t>
      </w:r>
    </w:p>
    <w:p>
      <w:r>
        <w:t>En conséquence, c’est à bon droit que l’OCPM puis le TAPI ont retenu que la situation de la recourante ne relevait pas d’un cas de violence conjugale répondant aux critères jurisprudentiels de gravité exigé par l’art. 50 al. 2 LEtr et que l’intéressée ne pouvait donc pas invoquer des raisons personnelles majeures pour en déduire un droit de séjour en Suisse en lien avec la violence conjugale dont elle affirmait avoir été victime.</w:t>
      </w:r>
    </w:p>
    <w:p>
      <w:r>
        <w:t>- 13/16 - A/3377/2016</w:t>
      </w:r>
    </w:p>
    <w:p>
      <w:r>
        <w:rPr>
          <w:b/>
        </w:rPr>
        <w:t>E. 10</w:t>
      </w:r>
    </w:p>
    <w:p>
      <w:r>
        <w:t>La recourante se trouve en Suisse depuis le 8 novembre 2012 et son autorisation de séjour a pris fin le 7 novembre 2015. La durée de son séjour est insuffisante à elle seule pour obtenir le renouvellement de son permis. Elle bénéficie d’une bonne intégration, occupant un emploi à plein temps, elle est indépendante financièrement et n’a jamais sollicité l’aide de l’Hospice général. Son comportement est irréprochable et elle poursuit son apprentissage de la langue française. Cela ne constitue toutefois pas une intégration professionnelle exceptionnelle au sens de la jurisprudence pour laquelle il est exigé notamment que l’intéressé possède des connaissances professionnelles si spécifiques qu’il ne pourrait les mettre en œuvre dans son pays d’origine, une réussite professionnelle remarquable et une intégration sociale particulièrement poussée (arrêt du Tribunal fédéral 2A.543/2001 du 25 avril 2002 consid. 5.2 ; arrêt du Tribunal administratif fédéral C-5414/2013 du 30 juin 2015 consid. 5.1.4 ; ATA/1094/2018 du 16 octobre 2018).</w:t>
      </w:r>
    </w:p>
    <w:p>
      <w:r>
        <w:t>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Or, la recourante a vécu en Éthiopie jusqu’à ses 34 ans et y a passé toute son enfance et son adolescence. Sa mère, ses frères et sœurs ainsi que sa fille avec qui elle est en contact régulier y vivent. Rien ne permet donc de retenir que sa réintégration soit compromise.</w:t>
      </w:r>
    </w:p>
    <w:p>
      <w:r>
        <w:t>En conséquence, la recourante ne remplit pas les conditions pour obtenir le renouvellement de son autorisation au motif de raisons personnelles majeures.</w:t>
      </w:r>
    </w:p>
    <w:p>
      <w:r>
        <w:rPr>
          <w:b/>
        </w:rPr>
        <w:t>E. 11</w:t>
      </w:r>
    </w:p>
    <w:p>
      <w:r>
        <w:t>Pour le surplus, il n’est pas allégué que l’exécution de son renvoi serait impossible, illicite ou ne serait pas raisonnablement exigible.</w:t>
      </w:r>
    </w:p>
    <w:p>
      <w:r>
        <w:rPr>
          <w:b/>
        </w:rPr>
        <w:t>E. 12</w:t>
      </w:r>
    </w:p>
    <w:p>
      <w:r>
        <w:t>Vu l’issue du litige, un émolument de CHF 400.- sera mis à la charge de la recourante (art. 87 al. 1 LPA) et aucune indemnité de procédure ne sera allouée (art. 87 al. 2 LPA).</w:t>
      </w:r>
    </w:p>
    <w:p>
      <w:r>
        <w:t>* * * * *</w:t>
      </w:r>
    </w:p>
    <w:p>
      <w:r>
        <w:t>- 14/16 - A/3377/2016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