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ATA/1357/2017 vom 3. Oktober 2017</w:t>
      </w:r>
    </w:p>
    <w:p>
      <w:r>
        <w:t>GE Cour de justice, 2017-10-03, FR</w:t>
      </w:r>
    </w:p>
    <w:p>
      <w:r>
        <w:rPr>
          <w:b/>
        </w:rPr>
        <w:t xml:space="preserve">Quelle: </w:t>
      </w:r>
      <w:r>
        <w:t>https://mcp.opencaselaw.ch/entscheid/ge_gerichte_ATA_1357_2017</w:t>
      </w:r>
    </w:p>
    <w:p>
      <w:r>
        <w:t>FR: GE_GERICHTE ATA/1357/2017 du 3 octobre 2017</w:t>
      </w:r>
    </w:p>
    <w:p>
      <w:r>
        <w:t>IT: GE_GERICHTE ATA/1357/2017 del 3 ottobre 2017</w:t>
      </w:r>
    </w:p>
    <w:p>
      <w:pPr>
        <w:pStyle w:val="Heading2"/>
      </w:pPr>
      <w:r>
        <w:t>Regeste</w:t>
      </w:r>
    </w:p>
    <w:p>
      <w:r>
        <w:t>Résumé: Admission du recours. La construction d'un muret surmonté de panneaux en bois requise par l'intimée a été refusée à juste titre. Celle-ci n'a en effet pas apporté de justification suffisante à la réalisation de la paroi litigieuse. Son intérêt privé doit céder le pas à l'intérêt public visant à éviter une prolifération de murs séparatifs en zone villa. Le DALE, qui conserve un large pouvoir d'appréciation dans l'application de l'art. 79 LCI, n'a pas excédé son pouvoir en s'écartant du préavis positif de la CA. L'ordre de remise en état est conforme au principe de proportionnalité et l'amende de CHF 2'000.- apparaît justifiée.</w:t>
      </w:r>
    </w:p>
    <w:p>
      <w:pPr>
        <w:pStyle w:val="Heading2"/>
      </w:pPr>
      <w:r>
        <w:t>Erwägungen</w:t>
      </w:r>
    </w:p>
    <w:p>
      <w:r>
        <w:rPr>
          <w:b/>
        </w:rPr>
        <w:t>E. 17</w:t>
      </w:r>
    </w:p>
    <w:p>
      <w:r>
        <w:t>juillet 2014 ; ATA/453/2011 du 26 juillet 2011 et les références citées).</w:t>
      </w:r>
    </w:p>
    <w:p>
      <w:r>
        <w:t>b. Les préavis ne lient pas les autorités (art. 3 al. 3 LCI). Ils n'ont qu’un caractère consultatif et l’autorité reste libre de s’en écarter pour des motifs pertinents et en raison d’un intérêt public supérieur (ATA/20/2015 précité et les références citées). La LCI ne prévoit aucune hiérarchie entre les différents préavis requis (ATA/1059/2017 du 4 juillet 2017 ; ATA/537/2017 du 9 mai 2017).</w:t>
      </w:r>
    </w:p>
    <w:p>
      <w:r>
        <w:t>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(ATA/582/2017 du 23 mai 2017 ; ATA/246/2016 du 15 mars 2016 ; ATA/581/2014 du 29 juillet 2014 ; ATA/126/2013 du 26 février 2013 ; ATA/720/2012 du 30 octobre 2012). De même, s'agissant des jugements rendus par le TAPI, la chambre administrative exerce son pouvoir d'examen avec retenue car celui-ci se compose pour partie de personnes possédant des compétences</w:t>
      </w:r>
    </w:p>
    <w:p>
      <w:r>
        <w:t>- 11/17 - A/4234/2015 techniques spécifiques (ATA/451/2017 du 25 avril 2017 ; ATA/373/2016 du 3 mai 2016 ; ATA/1019/2014 du 16 décembre 2014 ; ATA/719/2013 du 29 octobre 2013 ; ATA/453/2011 précité).</w:t>
      </w:r>
    </w:p>
    <w:p>
      <w:r>
        <w:t>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(ATA/534/2016 du</w:t>
      </w:r>
    </w:p>
    <w:p>
      <w:r>
        <w:rPr>
          <w:b/>
        </w:rPr>
        <w:t>E. 21</w:t>
      </w:r>
    </w:p>
    <w:p>
      <w:r>
        <w:t>décembre 1937 (CP - RS 311.0)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w:t>
      </w:r>
    </w:p>
    <w:p>
      <w:r>
        <w:t>- 15/17 - A/4234/2015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w:t>
      </w:r>
    </w:p>
    <w:p>
      <w:r>
        <w:t>c. En l’espèce, les cinq conditions que doit respecter l’ordre de remise en état sont remplies. En particulier, il respecte le principe de la proportionnalité puisque la paroi a été édifiée sans autorisation de construire, laquelle ne pouvait en tout état de cause pas être accordée, l’ouvrage litigieux n’étant pas conforme aux prescriptions de la LCI. En outre, l’intérêt public consistant à éviter la prolifération de murs en 5ème zone et l’intérêt au rétablissement de la situation conformément au droit prévalent sur l’intérêt privé de la recourante au maintien de la paroi litigieuse et ceci, malgré les désagréments – mineurs – que pourrait causer la démolition des panneaux de bois et du muret. Rien ne l’empêche par ailleurs de déposer une nouvelle demande d’autorisation de construire en vue d’ériger une mesure de séparation entre sa propriété et celle de son voisin qui remplirait les conditions des art. 79 et 112 LCI (notamment la distance par rapport au bord de la voie privée).</w:t>
      </w:r>
    </w:p>
    <w:p>
      <w:r>
        <w:t>Quant à l’amende infligée à la recourante à hauteur de CHF 2'000.-, le département n’a pas abusé de son pouvoir d’appréciation. L’amende apparaît en effet justifiée tant dans son principe que dans sa quotité, compte tenu du fait que les travaux litigieux ne sont pas conformes aux prescriptions légales et ont été entrepris alors qu’ils auraient dû être préalablement autorisés. La recourante, qui venait de construire un garage dûment autorisé, aurait dû le savoir, et a agi, à tout le moins, par négligence. 9)</w:t>
      </w:r>
    </w:p>
    <w:p>
      <w:r>
        <w:t>Au vu de ce qui précède, le recours sera admis et le jugement querellé sera annulé. La décision de refus d’autorisation et la décision connexe de remise en état seront rétablies. 10) Vu l’issue du litige, un émolument de CHF 1’000.- sera mis à la charge de l'intimée,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