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ATA/134/2026 vom 3. Februar 2026</w:t>
      </w:r>
    </w:p>
    <w:p>
      <w:r>
        <w:t>GE Cour de justice, 2026-02-03, FR</w:t>
      </w:r>
    </w:p>
    <w:p>
      <w:r>
        <w:rPr>
          <w:b/>
        </w:rPr>
        <w:t xml:space="preserve">Quelle: </w:t>
      </w:r>
      <w:r>
        <w:t>https://mcp.opencaselaw.ch/entscheid/ge_gerichte_ATA_134_2026</w:t>
      </w:r>
    </w:p>
    <w:p>
      <w:r>
        <w:t>FR: GE_GERICHTE ATA/134/2026 du 3 février 2026</w:t>
      </w:r>
    </w:p>
    <w:p>
      <w:r>
        <w:t>IT: GE_GERICHTE ATA/134/2026 del 3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à titre préalable à sa comparution personnelle et à la production par l’OCPM de toute la documentation de sa pratique consistant à accorder l’autorisation permise par la loi lorsque celle demandée ne peut être octroyée.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w:t>
      </w:r>
    </w:p>
    <w:p>
      <w:r>
        <w:t>- 7/14 - A/1297/2025 n'implique pas le droit à une audition orale ni à celle de témoins (ATF 140 I 285 consid. 6.3.1).</w:t>
      </w:r>
    </w:p>
    <w:p>
      <w:r>
        <w:rPr>
          <w:b/>
        </w:rPr>
        <w:t>E. 2.2</w:t>
      </w:r>
    </w:p>
    <w:p>
      <w:r>
        <w:t>En l’espèce, le recourant a eu l’occasion de faire valoir son argumentation et de produire toute pièce utile tant devant l’OCPM que le TAPI et la chambre de céans. Il n’expose pas quels éléments supplémentaires utiles à la solution du litige qu’il n’aurait pu produire par écrit son audition serait susceptible d’apporter. La production par l’OCPM de documentation au sujet des cas où il accorde un autre permis que celui demandé n’est pas utile à la solution du litige, dès lors que, comme il sera vu, son objet est limité au cas individuel d’extrême gravité et est par ailleurs sans rapport avec le cas où une autorisation de séjour est délivrée alors qu’une autorisation d’établissement avait été demandée. Il ne sera pas donné suite à la demande d’actes d’instruction.</w:t>
      </w:r>
    </w:p>
    <w:p>
      <w:r>
        <w:rPr>
          <w:b/>
        </w:rPr>
        <w:t>E. 3</w:t>
      </w:r>
    </w:p>
    <w:p>
      <w:r>
        <w:t>Le litige a pour objet le refus de l’OCPM de présenter la demande du recourant au SEM avec un préavis favorable et le prononcé de son renvoi de Suisse.</w:t>
      </w:r>
    </w:p>
    <w:p>
      <w:r>
        <w:rPr>
          <w:b/>
        </w:rPr>
        <w:t>E. 3.1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rPr>
          <w:b/>
        </w:rPr>
        <w:t>E. 3.2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- 8/14 - A/1297/2025</w:t>
      </w:r>
    </w:p>
    <w:p>
      <w:r>
        <w:rPr>
          <w:b/>
        </w:rPr>
        <w:t>E. 3.3</w:t>
      </w:r>
    </w:p>
    <w:p>
      <w:r>
        <w:t>La LEI et ses ordonnances d'exécution, en particulier l’ordonnance relative à l'admission, au séjour et à l'exercice d'une activité lucrative du 24 octobre 2007 (OASA - RS 142.201), règlent l'entrée, le séjour et la sortie des étrangers.</w:t>
      </w:r>
    </w:p>
    <w:p>
      <w:r>
        <w:rPr>
          <w:b/>
        </w:rPr>
        <w:t>E. 3.4</w:t>
      </w:r>
    </w:p>
    <w:p>
      <w:r>
        <w:t>Aux termes de l'art. 30 al. 1 let. b LEI, il est possible de déroger aux conditions d'admission (art. 18 à 29 LEI) notamment dans le but de tenir compte des cas individuels d'une extrême gravité ou d'intérêts publics majeurs.</w:t>
      </w:r>
    </w:p>
    <w:p>
      <w:r>
        <w:rPr>
          <w:b/>
        </w:rPr>
        <w:t>E. 3.4.1</w:t>
      </w:r>
    </w:p>
    <w:p>
      <w:r>
        <w:t>L’art. 31 al. 1 OASA prévoit que pour apprécier l’existence d’un cas individuel d’extrême gravité, il convient de tenir compte notamment de l’intégration du requérant selon les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 état au 1er janvier 2025, ch. 5.6.10).</w:t>
      </w:r>
    </w:p>
    <w:p>
      <w:r>
        <w:rPr>
          <w:b/>
        </w:rPr>
        <w:t>E. 3.4.2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3.4.3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3.4.4</w:t>
      </w:r>
    </w:p>
    <w:p>
      <w:r>
        <w:t>Bien que la durée du séjour en Suisse constitue un critère important lors de l'examen d'un cas d'extrême gravité, elle doit néanmoins être examinée à la lumière</w:t>
      </w:r>
    </w:p>
    <w:p>
      <w:r>
        <w:t>- 9/14 - A/1297/2025 de l'ensemble des circonstances et être relativisée lorsque l'étranger a séjourné en Suisse de manière illégale, sous peine de récompenser l'obstination à violer la loi (ATF 130 II 39 consid. 3 et les références citées).</w:t>
      </w:r>
    </w:p>
    <w:p>
      <w:r>
        <w:rPr>
          <w:b/>
        </w:rPr>
        <w:t>E. 3.4.5</w:t>
      </w:r>
    </w:p>
    <w:p>
      <w:r>
        <w:t>Dans le cadre de l'exercice de leur pouvoir d'appréciation, les autorités compétentes doivent tenir compte des intérêts publics, de la situation personnelle de l'étranger ainsi que de son degré d'intégration (art. 96 al. 1 LEI).</w:t>
      </w:r>
    </w:p>
    <w:p>
      <w:r>
        <w:rPr>
          <w:b/>
        </w:rPr>
        <w:t>E. 3.4.6</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 Les années passées en Suisse dans l’illégalité ou au bénéfice d’une simple tolérance ne sont pas déterminantes (ATF 137 II 1 consid. 4.3 ; 134 II 10 consid. 4.3 ; arrêt du Tribunal fédéral 2C_516/2022 du 22 mars 2023 consid. 6.1) Un étranger peut invoquer la protection de la vie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Lorsqu'un mineur est devenu majeur au cours de la procédure (ATF 145 I 227 consid. 3.1 : 136 II 497 consid. 3.2.; arrêts du Tribunal fédéral 2C_88/2024 du 1er mai 2024 ; 2C_903/2022 du 6 janvier 2023 consid. 4.3), ce n'est qu'en présence de liens de dépendance particulier entre lui et un parent au bénéfice d'un droit de présence assuré en Suisse qu'il pourrait obtenir le droit de séjourner en Suisse (par ex. en raison d'une maladie grave ou d'un handicap les empêchant de gagner leur vie et de vivre de manière autonome ; ATF 144 II 1 consid. 6.1 ; 137 I 154 consid. 3.4.2 ; 129 II 11 consid. 2).</w:t>
      </w:r>
    </w:p>
    <w:p>
      <w:r>
        <w:rPr>
          <w:b/>
        </w:rPr>
        <w:t>E. 3.5</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sont remplies (let. c), qui concernent respectivement les mesures de limitation (art. 20), l'ordre de priorité (art. 21), les mesures concernant les demandeurs d'emploi (art. 21a), les conditions de rémunération et de travail et le remboursement des dépenses des travailleurs détachés (art. 22), les qualifications personnelles (art. 23), le logement (art. 24) et</w:t>
      </w:r>
    </w:p>
    <w:p>
      <w:r>
        <w:t>- 10/14 - A/1297/2025 l'admission de frontaliers (art. 25). Ces conditions sont cumulatives (ATA/1413/2024 du 3 décembre 2024 consid. 3.4 ; ATA/1094/2019 du 25 juin 2019 consid. 5b et les références citées).</w:t>
      </w:r>
    </w:p>
    <w:p>
      <w:r>
        <w:rPr>
          <w:b/>
        </w:rPr>
        <w:t>E. 3.5.1</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9 mars 2009 ; RaLEtr - F 2 10.01). L’OCPM reçoit et traite les demandes d'autorisation d'admission pour d'autres motifs que ceux relevant de l’exercice d’une activité lucrative (art. 8 RaLEtr).</w:t>
      </w:r>
    </w:p>
    <w:p>
      <w:r>
        <w:rPr>
          <w:b/>
        </w:rPr>
        <w:t>E. 3.5.2</w:t>
      </w:r>
    </w:p>
    <w:p>
      <w:r>
        <w:t>En vertu de l'art. 21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(al. 3).</w:t>
      </w:r>
    </w:p>
    <w:p>
      <w:r>
        <w:rPr>
          <w:b/>
        </w:rPr>
        <w:t>E. 3.5.3</w:t>
      </w:r>
    </w:p>
    <w:p>
      <w:r>
        <w:t>En d’autres termes, l’admission de ressortissants d’États tiers n’est possible que si, à qualifications égales, aucun travailleur en Suisse ou ressortissant d’un État membre de l’UE/AELE ne peut être recruté. Le principe de la priorité des travailleurs résidants doit être appliqué à tous les cas, quelle que soit la situation de l’économie et du marché du travail (arrêt du Tribunal fédéral 2C_434/2014 du</w:t>
      </w:r>
    </w:p>
    <w:p>
      <w:r>
        <w:rPr>
          <w:b/>
        </w:rPr>
        <w:t>E. 3.5.4</w:t>
      </w:r>
    </w:p>
    <w:p>
      <w:r>
        <w:t>L'art. 19 LEI prévoit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w:t>
      </w:r>
    </w:p>
    <w:p>
      <w:r>
        <w:rPr>
          <w:b/>
        </w:rPr>
        <w:t>E. 3.5.5</w:t>
      </w:r>
    </w:p>
    <w:p>
      <w:r>
        <w:t>Les autorités compétentes bénéficient d'un large pouvoir d'appréciation. En raison de leur formulation potestative, les art. 18 et 19 LEI ne confèrent aucun droit à l'autorisation sollicitée (ATA/1413/2024 du 3 décembre 2024 consid. 3.5 et les références citées). De même, un employeur ne dispose d'aucun droit à engager un étranger en vue de l'exercice d'une activité lucrative en Suisse (arrêts du Tribunal fédéral 2D_57/2015 du 21 septembre 2015 consid. 3 ; 2D_4/2015 du 23 janvier 2015 consid. 3 ; ATAF C- 5184/2014 du 31 mars 2016 consid. 3). La chambre administrative ne connaît pas de l'opportunité des décisions prises en matière de police des étrangers, dès lors qu'il ne s'agit pas d'une mesure de contrainte (art. 61 al. 2 LPA ; art. 10 al. 2 de la loi d'application de la loi fédérale</w:t>
      </w:r>
    </w:p>
    <w:p>
      <w:r>
        <w:t>- 11/14 - A/1297/2025 sur les étrangers du 16 juin 1988 - LaLEtr - F 2 10, a contrario ; ATA/819/2024 du</w:t>
      </w:r>
    </w:p>
    <w:p>
      <w:r>
        <w:rPr>
          <w:b/>
        </w:rPr>
        <w:t>E. 3.6</w:t>
      </w:r>
    </w:p>
    <w:p>
      <w:r>
        <w:t>En l’espèce, dans un premier grief, le recourant reproche au TAPI d’avoir refusé d’examiner si les conditions des art. 18 ss LEI étaient réunies. Le TAPI a considéré que l’octroi d’un permis contingenté n’entrait pas dans l’objet du litige. Cette conclusion n’appelle aucune critique. Le 8 novembre 2023, le recourant a adressé à l’OCPM une demande d’autorisation de séjour pour cas de rigueur et le 3 janvier 2025, il a encore adressé à l’OCPM le formulaire M correspondant à ce type d’autorisation pour cas de rigueur, complété, daté, signé et accompagné de ses annexes. Il n’a pas demandé initialement à l’OCPM un permis contingenté et n’a pas allégué les faits ni produit les preuves nécessaires à l’octroi d’une telle autorisation, lesquels diffèrent notablement des conditions à l’octroi d’une autorisation pour cas individuel d’extrême gravité. L’OCPM s’est ainsi limité à instruire la demande d’autorisation pour cas individuel d’extrême gravité et n’a, dans sa décision de refus, traité que de ce type d’autorisation de séjour. Il n’a en particulier pas transmis le dossier à l’OCIRT pour préavis, comme le veut la pratique en cas de demande de permis contingenté. Il n’avait pas à le faire, contrairement à ce que semble considérer le recourant. Ce n’est que devant le TAPI que le recourant a fait valoir le besoin de main d’œuvre pour prendre soin de son employeuse, sans toutefois apporter d’élément probant établissant que celle-ci avait accompli toutes les recherches sur le marché de l’emploi suisse et européen. C’est ainsi de manière conforme à la loi et sans excès ni abus de son pouvoir d’appréciation que le TAPI a considéré que la demande de permis contingenté fondée sur les art. 18 ss LEI excédait l’objet du litige et qu’il n’y avait pas lieu d’examiner les arguments du recourant sur ce point, sous peine de porter atteinte à la garantie du double degré de juridiction. Ainsi que le TAPI l’a exposé, il demeure loisible au recourant et à son employeuse de saisir l’OCPM d’une demande de permis fondée sur les art. 18 ss LEI. Dans un second grief, le recourant reproche au TAPI de ne pas avoir pris en compte ses liens avec sa sœur dans l’examen du cas individuel d’extrême gravité. Le TAPI a cependant pris en considération ce lien, mais l’a jugé insuffisamment étroit et intense pour justifier l’application de l’art. 8 CEDH, une conclusion que le recourant semble ne pas contester. Pour le surplus, le TAPI a encore relevé que le souhait du recourant et de sa sœur de rester ensemble en Suisse était compréhensible. Cela étant, dans son recours devant le TAPI, le recourant s’est limité à indiquer que sa sœur vivait à Genève au bénéfice d’une autorisation de séjour et qu’il avait ainsi</w:t>
      </w:r>
    </w:p>
    <w:p>
      <w:r>
        <w:t>- 12/14 - A/1297/2025 toute sa famille en Suisse, sans alléguer de relation particulièrement étroite avec elle. Il ne saurait ainsi reprocher au TAPI de ne pas avoir pris en compte des liens familiaux particulièrement intenses. Quant au fait qu’il n’aurait plus de famille aux Philippines, le TAPI l’a pris en compte mais a retenu qu’il n’avait guère de portée dans ses possibilités de réintégration dans son pays d’origine, dès lors qu’il y avait vécu jusqu’à l’âge de 37 ans et y avait certainement conservé des attaches, si bien que sa réintégration apparaissait possible même si sa sœur se trouvait en Suisse. Le grief sera écarté. Le TAPI a encore retenu que le recourant ne remplissait pas les conditions du séjour de longue durée et que cette durée devait quoi qu’il en soit être relativisée dès lors que le séjour avait été accompli dans l’illégalité. Il a encore retenu que la condition de l’intégration socio-économique exceptionnelle n’était pas non plus remplie. Il a enfin considéré que la réintégration du recourant dans sa patrie ne se heurterait pas à des obstacles insurmontables. Ce raisonnement, que le recourant ne conteste d’ailleurs pas, ne prête pas le flanc à la critique. C’est ainsi de manière conforme à la loi et sans excès ni abus de son pouvoir d’appréciation que l’OCPM a refusé de délivrer au recourant une autorisation de séjour pour cas individuel d’extrême gravité. 4. Reste à examiner si le renvoi du recourant était fondé. 4.1 Selon l’art. 64 al. 1 let. c LEI, les autorités compétentes rendent une décision de renvoi ordinaire à l’encontre d’un étranger auquel une autorisation est refusée ou dont l’autorisation, bien que requise, est révoquée ou n’est pas prolongée après un séjour autorisé. 4.2 En l’espèce, il ne ressort pas de la procédure que l’exécution du renvoi du recourant serait illicite, impossible ou ne pourrait raisonnablement être exigé. Le recourant ne le prétend d’ailleurs pas. Mal fondé, le recours, sera rejeté. 5. Vu l'issue du litige, un émolument de CHF 400.- sera mis à la charge du recourant (art. 87 al. 1 LPA), qui ne peut se voir allouer une indemnité de procédure (art. 87 al. 2 LPA).</w:t>
      </w:r>
    </w:p>
    <w:p>
      <w:r>
        <w:t>* * * * *</w:t>
      </w:r>
    </w:p>
    <w:p>
      <w:r>
        <w:rPr>
          <w:b/>
        </w:rPr>
        <w:t>E. 8</w:t>
      </w:r>
    </w:p>
    <w:p>
      <w:r>
        <w:t>août 2014 consid. 2.2 ; ATA/978/2024 du 20 août 2024 consid. 2.4).</w:t>
      </w:r>
    </w:p>
    <w:p>
      <w:r>
        <w:rPr>
          <w:b/>
        </w:rPr>
        <w:t>E. 9</w:t>
      </w:r>
    </w:p>
    <w:p>
      <w:r>
        <w:t>juillet 2024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