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ATA/1349/2015 vom 15. Dezember 2015</w:t>
      </w:r>
    </w:p>
    <w:p>
      <w:r>
        <w:t>GE Cour de justice, 2015-12-15, FR</w:t>
      </w:r>
    </w:p>
    <w:p>
      <w:r>
        <w:rPr>
          <w:b/>
        </w:rPr>
        <w:t xml:space="preserve">Quelle: </w:t>
      </w:r>
      <w:r>
        <w:t>https://mcp.opencaselaw.ch/entscheid/ge_gerichte_ATA_1349_2015</w:t>
      </w:r>
    </w:p>
    <w:p>
      <w:r>
        <w:t>FR: GE_GERICHTE ATA/1349/2015 du 15 décembre 2015</w:t>
      </w:r>
    </w:p>
    <w:p>
      <w:r>
        <w:t>IT: GE_GERICHTE ATA/1349/2015 del 15 dicembre 2015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prise en compte dans le bénéfice imposable 2013 de la recourante de l’extourne de la provision pour impôt constituée dans les comptes 2012 et non utilisée.</w:t>
      </w:r>
    </w:p>
    <w:p>
      <w:r>
        <w:rPr>
          <w:b/>
        </w:rPr>
        <w:t>E. 3</w:t>
      </w:r>
    </w:p>
    <w:p>
      <w:r>
        <w:t>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w:t>
      </w:r>
    </w:p>
    <w:p>
      <w:r>
        <w:t>- 5/7 - A/2198/2014 2C_637/2012 du 4 octobre 2012 consid. 6.1 ; 2C_392/2009 du 23 août 2010 consi. 2.2 in RDAF 2011 II 70 ;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(ATA/520/2014 du 1er juillet 2014 ; ATA/829/2013 du 17 décembre 2013 ; ATA/607/2008 du 4 février 2009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w:t>
      </w:r>
    </w:p>
    <w:p>
      <w:r>
        <w:t>e. 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w:t>
      </w:r>
    </w:p>
    <w:p>
      <w:r>
        <w:rPr>
          <w:b/>
        </w:rPr>
        <w:t>E. 4</w:t>
      </w:r>
    </w:p>
    <w:p>
      <w:r>
        <w:t>Selon l’art. 69 LIFD et l’art. 21 LIPM, l’impôt sur le bénéfice d’une société de capitaux ou d’une société coopérative est réduit proportionnellement au rapport entre le rendement net des droits de participation et le bénéfice net total lorsque la société possède 10 % au moins du capital-actions ou du capital social d’une autre société, ou qu’elle participe pour 10 % au moins au bénéfice et aux réserves d’une autre société ou encore lorsqu’elle détient des droits de participation d’une valeur vénale d’un million de francs au moins. Il s’agit là de la réduction pour participations.</w:t>
      </w:r>
    </w:p>
    <w:p>
      <w:r>
        <w:rPr>
          <w:b/>
        </w:rPr>
        <w:t>E. 5</w:t>
      </w:r>
    </w:p>
    <w:p>
      <w:r>
        <w:t>En l’espèce, la recourante a constitué en 2012 une provision pour impôts, ce qui est admissible au vu de la jurisprudence susmentionnée. Cette provision a de</w:t>
      </w:r>
    </w:p>
    <w:p>
      <w:r>
        <w:t>- 6/7 - A/2198/2014 fait été admise par l’AFC. Lors de ce premier exercice fiscal, la recourante a bénéficié d’une réduction pour participations équivalente à 100 % de son bénéfice net, de sorte qu’elle n’a eu finalement aucun montant à payer au titre de l’IFD et de l’ICC 2012. Dès lors, la provision en cause n’avait plus de justification et devait être extournée dans les comptes 2013, entraînant une augmentation équivalente du bénéfice imposable de cet exercice, ce qu’a parfaitement transcrit la recourante en qualifiant l’extourne de « produits sur exercices précédents ». C’est en vain qu’elle a tenté ultérieurement de la qualifier de « dissolution de réserves latentes imposées » puisque précisément, il n’y avait pas eu d’imposition, ou de reprise en 2012. C’est le lieu de relever que la recourante n’a pas contesté les bordereaux IFD et ICC 2012.</w:t>
      </w:r>
    </w:p>
    <w:p>
      <w:r>
        <w:t>La recourante ne peut davantage être suivie lorsqu’elle soutient que l’extourne de 2013 ne devrait pas être imposée du fait que si la provision n’avait pas été constituée en 2012, son montant ajouté au bénéfice net de cette année-là, n’aurait pas été imposé en raison de la réduction pour participations. C’est en effet la recourante elle-même qui a choisi de constituer une provision pour impôts en 2012 et en a fixé le montant, au demeurant élevé en regard de son bénéfice déclaré, alors qu’elle est clairement de par son but statutaire et sa comptabilité, une société de participations. Elle ne pouvait ignorer les dispositions fiscales permettant une réduction pour participations. Le fait qu’elle n’ait pas correctement estimé sa situation fiscale en 2012 ne saurait en aucun cas constituer un motif de ne pas appliquer correctement les dispositions fiscales pertinentes aux conséquences de cette mauvaise estimation en 2013.</w:t>
      </w:r>
    </w:p>
    <w:p>
      <w:r>
        <w:rPr>
          <w:b/>
        </w:rPr>
        <w:t>E. 6</w:t>
      </w:r>
    </w:p>
    <w:p>
      <w:r>
        <w:t>Au vu de ce qui précède, le recours sera rejeté.</w:t>
      </w:r>
    </w:p>
    <w:p>
      <w:r>
        <w:t>Vu l’issue du litige, un émolument de CHF 1'500.- sera mis à la charge de la recourante et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