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ATA/1348/2017 vom 3. Oktober 2017</w:t>
      </w:r>
    </w:p>
    <w:p>
      <w:r>
        <w:t>GE Cour de justice, 2017-10-03, FR</w:t>
      </w:r>
    </w:p>
    <w:p>
      <w:r>
        <w:rPr>
          <w:b/>
        </w:rPr>
        <w:t xml:space="preserve">Quelle: </w:t>
      </w:r>
      <w:r>
        <w:t>https://mcp.opencaselaw.ch/entscheid/ge_gerichte_ATA_1348_2017</w:t>
      </w:r>
    </w:p>
    <w:p>
      <w:r>
        <w:t>FR: GE_GERICHTE ATA/1348/2017 du 3 octobre 2017</w:t>
      </w:r>
    </w:p>
    <w:p>
      <w:r>
        <w:t>IT: GE_GERICHTE ATA/1348/2017 del 3 ottobre 2017</w:t>
      </w:r>
    </w:p>
    <w:p>
      <w:pPr>
        <w:pStyle w:val="Heading2"/>
      </w:pPr>
      <w:r>
        <w:t>Regeste</w:t>
      </w:r>
    </w:p>
    <w:p>
      <w:r>
        <w:t>Résumé: Quand bien même il n'impose pas la construction d'installations fixes sur le territoire communal, un réseau de vélos en libre-service, consistant à disposer ceux-ci sur les places de stationnement existantes, constitue un usage accru du domaine public, soumis à autorisation, dans la mesure où il implique une occupation quasi-permanente desdits emplacements. En outre, l'exigence d'une rétribution pour user de ce réseau concrétise la finalité commerciale de l'entreprise concernée.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sollicite la tenue d'une audience de comparution personnelle des parties, ainsi que la production par l'intimée des statistiques d'utilisation et le taux de rotation du réseau Vélospot déployé dans les communes du canton de Genève, notamment en ville de Genève.</w:t>
      </w:r>
    </w:p>
    <w:p>
      <w:r>
        <w:t>a. 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w:t>
      </w:r>
    </w:p>
    <w:p>
      <w:r>
        <w:t>Le droit d’être entendu ne comprend pas le droit d'être entendu oralement (ATF 134 I 140 consid. 5.3 ; arrêt du Tribunal fédéral 1C_551/2015 du 22 mars 2016 consid. 2.2) ni celui d'obtenir l’audition de témoins (ATF 130 II 425 consid. 2.1 ; ATA/356/2016 du 26 avril 2016).</w:t>
      </w:r>
    </w:p>
    <w:p>
      <w:r>
        <w:t>Le droit de faire administrer des preuves découlant du droit d’être entendu garanti par l’art. 29 al. 2 Cst.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134 I 140 consid. 5.3).</w:t>
      </w:r>
    </w:p>
    <w:p>
      <w:r>
        <w:t>b. En l'occurrence, l'audition des parties n'apporterait pas d'éléments supplémentaires, les documents nécessaires, expliquant leur système respectif de VLS et les enjeux y relatifs ayant été versés à la procédure. Les parties se sont en outre déterminées par écrit sur les faits de la cause. La chambre administrative</w:t>
      </w:r>
    </w:p>
    <w:p>
      <w:r>
        <w:t>- 16/24 - A/1300/2016 dispose ainsi d’un dossier complet lui permettant de se prononcer sur les griefs soulevés par la recourante en toute connaissance de cause.</w:t>
      </w:r>
    </w:p>
    <w:p>
      <w:r>
        <w:t>Il ne sera dès lors pas donné suite à la requête d'instruction.</w:t>
      </w:r>
    </w:p>
    <w:p>
      <w:r>
        <w:rPr>
          <w:b/>
        </w:rPr>
        <w:t>E. 3</w:t>
      </w:r>
    </w:p>
    <w:p>
      <w:r>
        <w:t>Le litige porte sur la question de savoir si l'exploitation du système Vélospot en ville de Genève, par l'intimée, constitue un usage accru du domaine public à des fins commerciales, nécessitant la délivrance d'une permission par la recourante.</w:t>
      </w:r>
    </w:p>
    <w:p>
      <w:r>
        <w:rPr>
          <w:b/>
        </w:rPr>
        <w:t>E. 4</w:t>
      </w:r>
    </w:p>
    <w:p>
      <w:r>
        <w:t>a. L’utilisation du domaine public communal, en l’occurrence celui de la Ville de Genève dont les voies publiques communales dès leur affectation par l’autorité compétente à l’usage commun, est régie par la loi sur le domaine public du 24 juin 1961 (LDPu - L 1 05), par le règlement concernant l’utilisation du domaine public du 21 décembre 1988 (RUDP - L 1 10.12) ainsi que, notamment, par la LRoutes.</w:t>
      </w:r>
    </w:p>
    <w:p>
      <w:r>
        <w:t>b. Selon l’art. 12 LDPu, chacun peut, dans les limites des lois et des règlements, utiliser le domaine public conformément à sa destination et dans le respect des droits d’autrui (art. 12 LDPu), y compris les voies publiques (art. 55 LRoutes). L’art. 13 LDPu subordonne à permission – à concession s’ils sont assortis de dispositions contractuelles – l’établissement de constructions ou d’installations permanentes sur le domaine public, son utilisation à des fins industrielles ou commerciales ou toute autre utilisation de celui-ci excédant l’usage commun. Les permissions, délivrées à titre précaire (art. 19 al. 1 LDPu), sont accordées par l’autorité communale qui administre le domaine public, laquelle en fixe les conditions (art. 15 et 17 LDPu). La compétence communale résulte en outre des art. 56 et 57 LRoutes et de l’art. 1 al. 1 let. b RUDP, lesquels disposent que toute utilisation du domaine public excédant l’usage commun au sens de l’art. 13 LDPu fait l’objet d’une autorisation délivrée par l’autorité communale (ATA/554/2014 du 17 juillet 2014 consid. 4 et les références citées). Sont visées toutes les situations aboutissant à un usage accru, voire privatif du domaine public (Thierry TANQUEREL, Manuel de droit administratif, 2011, p. 69 n. 210 et p. 72 n. 218), notamment tout empiétement, occupation, travail, installation, dépôt ou saillie sur ou sous la voie publique dont les modalités sont fixées par le règlement d'application (art. 56 al. 2 LRoutes).</w:t>
      </w:r>
    </w:p>
    <w:p>
      <w:r>
        <w:t>c. La jurisprudence et la doctrine connaissent trois types d’usage du domaine public. Est considérée comme usage commun du domaine public l’utilisation que toute personne peut en faire gratuitement et conformément à sa destination, sans que cet usage n’entrave ou n’exclue un usage similaire. L’usage accru se caractérise par l’exclusion de l’usage commun pour les tiers d’une certaine partie du domaine public, pour une durée déterminée ; à l’opposé de l’usage commun, cette utilisation va à l’encontre de la destination ordinaire de la chose et est soumise à autorisation (ATF 135 I 302 consid. 3.2). Enfin, l’usage privatif a une intensité et une durée supérieure à tout autre usage ; il n’est pas conforme à la</w:t>
      </w:r>
    </w:p>
    <w:p>
      <w:r>
        <w:t>- 17/24 - A/1300/2016 destination ordinaire de la chose et s’oppose de manière absolue à l’usage commun ou à l’usage accru. Il est soumis à concession et crée en faveur de son titulaire des droits acquis (ATA/63/2012 du 31 janvier 2012 consid. 6b et les références citées).</w:t>
      </w:r>
    </w:p>
    <w:p>
      <w:r>
        <w:t>d. La jurisprudence a ainsi déjà été retenu que la pose d’affichettes sur les lampadaires et les poteaux de signalisation lumineuse constituait un usage accru du domaine public, celle-ci s'appropriant une partie de la chose publique en l'accaparant. Ce procédé ne constituait pas un usage commun et conforme à sa destination de ce bien public. Le placardage généralisé de la ville auquel pourrait conduire l’affichage libre (hors réclame) finirait par souiller, voire endommager les supports appartenant au domaine public, et en favoriserait la pollution, ce qui se heurterait, dans son principe, aux exigences de propreté et de salubrité. L’intérêt public résidait ainsi dans la nécessité pour l’État de conserver la maîtrise de la chose publique (ATA/510/2009 du 3 août 2010).</w:t>
      </w:r>
    </w:p>
    <w:p>
      <w:r>
        <w:t>Le parcage temporaire de taxis sur des places réservées dans l'attente du chargement de clients implique également un usage accru du domaine public (François BELLANGER, Commerce et domaine public in François BELLANGER/Thierry TANQUEREL, Pratique du droit administratif, Le domaine public, 2004, p. 48 et les références citées).</w:t>
      </w:r>
    </w:p>
    <w:p>
      <w:r>
        <w:t>Il en va de même d'une manifestation nécessitant la fermeture du Pont des Bergues, destiné en temps normal à la circulation des piétons et des cyclistes (Philippe THELIN, La jurisprudence récente en matière de domaine public in François BELLANGER/Thierry TANQUEREL, op. cit., p. 148 s. et les références citées).</w:t>
      </w:r>
    </w:p>
    <w:p>
      <w:r>
        <w:t>En matière d'utilisation du patrimoine administratif, il a été considéré que l'exercice d'une activité commerciale de voiturier, de manière permanente et en dehors de toute procédure d'autorisation ou de concession, occupant un étage d'un parking appartenant à un établissement de droit public ne correspondait pas à un usage ordinaire ou conforme des places de stationnement par rapport à leur destination (ATA/672/2015, ATA/673/2015, ATA/674/2015 et ATA/676/2015 du 23 juin 2015).</w:t>
      </w:r>
    </w:p>
    <w:p>
      <w:r>
        <w:t>e. Concernant en particulier le stationnement des cycles, cyclomoteurs et motocycles, l'art. 32 LDPu dispose que l’autorité compétente peut permettre aux marchands de cycles, cyclomoteurs ou motocycles d’occuper une partie déterminée du trottoir ou de la chaussée pour le stationnement de ces véhicules, pour autant que la largeur du domaine public et les conditions générales de la circulation le permettent. Le préavis du département de l’environnement, des transports et de l’agriculture (ci-après : DETA) est requis pour toute occupation de la chaussée (al. 1). Tout autre dépôt de même que tous travaux de réparation et</w:t>
      </w:r>
    </w:p>
    <w:p>
      <w:r>
        <w:t>- 18/24 - A/1300/2016 d’entretien de véhicules sont interdits (al. 2). Les véhicules doivent être enlevés dès la fermeture obligatoire du commerce, sauf dérogation (al. 3).</w:t>
      </w:r>
    </w:p>
    <w:p>
      <w:r>
        <w:rPr>
          <w:b/>
        </w:rPr>
        <w:t>E. 5</w:t>
      </w:r>
    </w:p>
    <w:p>
      <w:r>
        <w:t>L’art. 15 LDPu constitue une base légale suffisante pour limiter les libertés (ATA/646/2014 du 19 août 2014 ; ATA/63/2012 du 31 janvier 2012 ; ATA/417/2007 du 28 août 2007).</w:t>
      </w:r>
    </w:p>
    <w:p>
      <w:r>
        <w:t>En matière de gestion du domaine public communal, plus particulièrement dans l’octroi ou le refus de permissions d’utilisation excédant l’usage commun, les communes genevoises jouissent, en vertu du droit cantonal, d’une importante liberté d’appréciation (arrêts du Tribunal fédéral 2C_118/2008 du 21 novembre 2008 consid. 4.3 ; 2P.69/2006 du 5 juillet 2006 consid. 2.2 ; 2P.107/2002 du 28 octobre 2002 consid. 2.2 ; ATA/596/2015 du 9 juin 2015 consid. 6b ; ATA/646/2014 du 19 août 2014).</w:t>
      </w:r>
    </w:p>
    <w:p>
      <w:r>
        <w:t>Dans ce cadre, il est dans la nature des choses que les questions d’ordre culturel, d’aménagement du territoire, d’esthétique et de besoins du consommateur local entrent en considération dans la pondération des intérêts en présence (arrêt du Tribunal fédéral 2C_819/2014 du 3 avril 2015 consid. 5.2). Cela étant, la pratique administrative en matière d’autorisation ne doit pas vider de leur substance les droits fondamentaux, en particulier le principe d’égalité de traitement, ni de manière générale, ni au détriment de certains citoyens (ATF 121 I 279 consid. 2a).</w:t>
      </w:r>
    </w:p>
    <w:p>
      <w:r>
        <w:rPr>
          <w:b/>
        </w:rPr>
        <w:t>E. 6</w:t>
      </w:r>
    </w:p>
    <w:p>
      <w:r>
        <w:t>a. Selon l’art. 8 al. 1 Cst., tous les êtres humains sont égaux devant la loi. Une décision viole le principe de l’égalité de traitement consacré par cette disposition lorsqu’elle établit des distinctions juridiques qui ne se justifient par aucun motif raisonnable au regard de la situation de fait à réglementer ou qu’elle omet de faire des distinctions qui s’imposent au vu des circonstances (ATF 137 V 121 consid. 5.3 ; 134 I 23 consid. 9.1 ; arrêts du Tribunal fédéral 1D_6/2014 du 7 mai 2015 consid. 3.1 ; 1C_223/2014 du 15 janvier 2015 consid. 4.5.1). Il y a notamment inégalité de traitement lorsque l’État accorde un privilège ou une prestation à une personne, mais qu’elle les dénie à une autre qui se trouve dans une situation comparable (ATF 140 I 201 consid. 6.5.1 ; arrêt du Tribunal fédéral 1C_223/2014 précité consid. 4.5.1).</w:t>
      </w:r>
    </w:p>
    <w:p>
      <w:r>
        <w:t>b. Le principe d’égalité de traitement découle également de la liberté économique, garantie par l’art. 27 Cst., qui comprend notamment le libre choix de la profession, le libre accès à une activité économique lucrative privée et son libre exercice et protège toute activité économique privée, exercée à titre professionnel et tendant à la production d’un gain ou d’un revenu (ATF 128 I 19 consid. 4c/aa). Ainsi, la liberté économique englobe le principe de l’égalité de traitement entre personnes appartenant à la même branche économique, en vertu duquel les mesures étatiques qui ne sont pas neutres sur le plan de la concurrence entre les concurrents directs sont prohibées (arrêts du Tribunal fédéral 2C_123/2013 du</w:t>
      </w:r>
    </w:p>
    <w:p>
      <w:r>
        <w:t>- 19/24 - A/1300/2016 16 décembre 2013 consid. 6.3 ; 2C_116/2011 du 29 août 2011 consid. 7.1). Ce principe offre une protection plus étendue que l’art. 8 Cst. (ATF 130 I 26 consid. 6.3.3.1 ; arrêts du Tribunal fédéral 2C_123/2013 précité consid. 6.3 ; 2C_763/2009 du 28 avril 2010 consid. 6.1). L’égalité de traitement entre concurrents n’est toutefois pas absolue et autorise des différences, à condition que celles-ci reposent sur une base légale, qu’elles répondent à des critères objectifs, soient proportionnées et résultent du système lui-même (ATF 125 I 431 consid. 4b/aa ; arrêts du Tribunal fédéral 2C_123/2013 précité consid. 6.3 ; 4C_2/2013 du 10 juillet 2013 consid. 3.1 ; 2C_727/2011 du 19 avril 2012 consid. 3.2 non publié in ATF 138 II 191 ; 2C_116/2011 précité consid. 7.1).</w:t>
      </w:r>
    </w:p>
    <w:p>
      <w:r>
        <w:t>c. Le principe de la légalité de l’activité administrative prévaut en principe sur celui de l’égalité de traitement. En conséquence, le justiciable ne peut généralement pas se prétendre victime d’une inégalité devant la loi lorsque celle- ci est correctement appliquée à son cas, alors qu’elle aurait été faussement, voire pas appliquée du tout, dans d’autres cas (ATF 136 V 390 consid. 6a ; arrêt du Tribunal fédéral 2C_490/2014 du 26 novembre 2014 consid. 3.2). Cette situation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136 I 65 consid. 5.6 ; arrêts du Tribunal fédéral 2C_490/2014 précité consid. 3.2 ; 2C_442/2012 du 14 décembre 2012 consid. 5.5 ; 1C_482/2010 du 14 avril 2011 consid. 5.1). Il faut encore que l’autorité n’ait pas respecté la loi selon une pratique constante et non pas dans un ou quelques cas isolés (ATF 132 II 485 consid. 8.6 ; 127 I 1 consid. 3a ; 126 V 390 consid. 6a), et qu’aucun intérêt public ou privé prépondérant n’impose de donner la préférence au respect de la légalité (ATF 123 II 248 consid. 3c ; 115 Ia 81 consid. 2). C’est seulement lorsque toutes ces conditions sont remplies que le citoyen est en droit de prétendre, à titre exceptionnel, au bénéfice de l’égalité dans l’illégalité (ATF 136 I 78 consid. 5.6 ; 132 II 510 consid. 8.6 ; 131 V 9 consid. 3.7 ; 127 I 1 consid. 3a ; 125 II 152 consid. 5 ; 122 II 446 consid. 4a ; arrêts du Tribunal fédéral 1C_423/2011 du 2 avril 2012 consid. 5.1 ; 1C_434/2011 du 2 février 2012 consid. 6.1 ; ATA/206/2015 du 24 février 2015).</w:t>
      </w:r>
    </w:p>
    <w:p>
      <w:r>
        <w:rPr>
          <w:b/>
        </w:rPr>
        <w:t>E. 7</w:t>
      </w:r>
    </w:p>
    <w:p>
      <w:r>
        <w:t>L’autorité compétente, soit en l'occurrence la commune, peut ordonner diverses mesures lorsque l’état d’une voie publique ou privée, de ses ouvrages d’art ou de ses dépendances, n’est pas conforme aux prescriptions légales (art. 78 LRoutes), à savoir notamment un mode particulier d’utilisation ou l’interdiction d’utiliser une installation ou une chose (art. 77 let. c LRoutes), la remise en état, la réparation et la modification d’une installation ou d’une chose (art. 77 let. d LRoutes) et la suppression d’une installation ou d’une chose (art. 77 let. e LRoutes).</w:t>
      </w:r>
    </w:p>
    <w:p>
      <w:r>
        <w:t>- 20/24 - A/1300/2016</w:t>
      </w:r>
    </w:p>
    <w:p>
      <w:r>
        <w:t>L’autorité compétente notifie aux intéressés, par lettre recommandée, les mesures qu’elle ordonne. Elle fixe un délai pour leur exécution, à moins qu’elle n’invoque l’urgence (art. 80 LRoutes).</w:t>
      </w:r>
    </w:p>
    <w:p>
      <w:r>
        <w:rPr>
          <w:b/>
        </w:rPr>
        <w:t>E. 8</w:t>
      </w:r>
    </w:p>
    <w:p>
      <w:r>
        <w:t>L'intimée n'étant pas au bénéfice d'une permission, il s'agit d'examiner si l'utilisation qu'elle fait des places de stationnement publiques réservées aux deux-roues, en particulier les vélos, correspond à un usage commun du domaine public ou non.</w:t>
      </w:r>
    </w:p>
    <w:p>
      <w:r>
        <w:t>a. Le 27 mai 2015, l'intimée a annoncé le déploiement complet de son réseau Vélospot pour le printemps 2016. Au 21 mars 2016, ce dispositif concernait treize stations opérationnelles en ville de Genève, installées sur les emplacements réservés aux deux-roues, comprenant chacune entre quatre à cinq VLS. Deux autres ont été installées ultérieurement. Ainsi, depuis le printemps 2016, environ septante-cinq vélos du système Vélospot sont stationnés sur le territoire communal genevois. À ces VLS, s'ajoutent ceux du réseau Vélospot en provenance d'autres communes du canton dans lesquelles ce système a également été mis en place. Le nombre de vélos par stations en ville de Genève en est donc potentiellement augmenté d'autant.</w:t>
      </w:r>
    </w:p>
    <w:p>
      <w:r>
        <w:t>De prime abord, cette activité peut paraître conforme à la destination des emplacements prévus pour les deux-roues, s'agissant du stationnement d'une bicyclette sur un espace prévu à cet effet.</w:t>
      </w:r>
    </w:p>
    <w:p>
      <w:r>
        <w:t>Cependant, l'un des représentants de l'intimée a confirmé que, même dans une ville comme Paris où le réseau de VLS est le plus performant, ceux-ci ne circulent qu'au maximum quarante-cinq minutes par jour. Les bicyclettes restent ainsi stationnées quasiment toute la journée. À Bienne, où le réseau Vélospot est le plus développé et utilisé, les statistiques produites par l'intimée indiquent uniquement qu'un vélo effectue au maximum 3,3 courses par jour, sans en préciser la durée. En appliquant la moyenne de six minutes par course admise en rapport avec les constats effectués à Paris, il est confirmé que le temps de circulation quotidien des vélos du réseau Vélospot n'est que de trente minutes au plus. En d'autres termes, cela signifie concrètement que sur les quinze stations sises en ville de Genève, au moins quatre à cinq places de stationnement sont occupées de manière quasi-permanente uniquement par des vélos du réseau Vélospot dans chaque station.</w:t>
      </w:r>
    </w:p>
    <w:p>
      <w:r>
        <w:t>Cette quantité théorique doit toutefois être parfois rectifiée, puisqu'il a été constaté jusqu'à sept VLS sur certains emplacements. Selon les relevés effectués au mois de janvier 2017, soit à une période où l'utilisation du vélo comme moyen de transport est certainement la plus faible, étayés par des photographies, le taux d'occupation de ces espaces par les vélos Vélospot se situait entre 30 % et 50 %. Bien que l'intimée critique ces observations, elle ne produit aucun document permettant de les contredire. En dépit de l'absence d'installations fixes, ces</w:t>
      </w:r>
    </w:p>
    <w:p>
      <w:r>
        <w:t>- 21/24 - A/1300/2016 chiffres illustrent néanmoins une forme d'appropriation quasi-permanente des places de stationnement prévus pour les deux-roues, sur lesquelles sont implantées des stations Vélospot. Celle-ci s'oppose à un usage temporaire favorisant un taux de rotation permettant d'assurer la disponibilité de ces emplacements pour tout un chacun dans le cadre de ses déplacements quotidiens. Les relevés du bureau d'ingénieurs démontrent également que le système d'équilibrage des stations invoqué apparaît déjà insuffisant, tandis que le réseau Vélospot n'a pas encore atteint sa capacité finale en regard de l'objectif fixé par rapport au nombre de vélos en circulation projeté.</w:t>
      </w:r>
    </w:p>
    <w:p>
      <w:r>
        <w:t>En parallèle, l'intimée n'étaye pas davantage l'éventuelle réduction du nombre de vélos privés en raison de la mise à disposition de VLS, qu'elle avance. Au contraire, il apparaît peu crédible qu'un particulier, possédant un vélo personnel, dont il peut disposer en toute liberté et requérant de faibles coûts d'entretien, paie un abonnement pour utiliser un VLS qu'il a l'obligation de restituer dans une des stations établies. La stratégie de l'intimée, révélée dans ses propres écritures, consistant à s'arroger le droit d'imposer unilatéralement à la population l'utilisation de VLS au détriment de l'usage de ses propres bicyclettes, en s'accaparant certains des emplacements publics de stationnement à disposition des citoyens, apparaît pour le moins choquante dans le cadre d'un régime constitutionnel garantissant les libertés individuelles.</w:t>
      </w:r>
    </w:p>
    <w:p>
      <w:r>
        <w:t>Retenir que les particuliers peuvent garer leurs cycles ou motocycles sur les trottoirs, lorsque la largeur de ceux-ci le permet, afin que l'intimée puisse occuper à sa guise des places de stationnement prévues spécifiquement pour les premiers, ne paraît pas davantage être une alternative satisfaisante à la saturation notoire desdits emplacements. D'une part, si les particuliers ne sont pas limités par le nombre de places de stationnement réservées aux deux-roues, ils le sont néanmoins par l'espace à disposition sur le domaine public. D'autre part, une telle approche occulte la réalité d'une constante augmentation du nombre de deux-roues en circulation, de même que la nécessité de préserver la sécurité et la cohérence du domaine public, en particulier des voies de circulation.</w:t>
      </w:r>
    </w:p>
    <w:p>
      <w:r>
        <w:t>Ainsi, l'impact du réseau Vélospot – détenu par une seule entité juridique – dont les deux tiers occupent de manière quasi-permanente et exclusive le domaine public, ne saurait être assimilée à l'usage commun que les particuliers font de ces places de stationnements, en y parquant leurs vélos personnels pour leurs trajets quotidiens, tel que se rendre à leurs domiciles, lieux de travail ou de loisirs, ou encore à des rendez-vous ou pour faire des commissions.</w:t>
      </w:r>
    </w:p>
    <w:p>
      <w:r>
        <w:t>b. S'agissant des commerçants de vélos, la loi leur accorde la possibilité de les disposer devant leurs vitrines aux heures d'ouverture sous certaines conditions et pour autant qu'ils bénéficient d'une permission en ce sens. Les éléments versés à la procédure démontrent d'ailleurs que le cas de l'association Genèveroule entre dans cette catégorie. L'exercice de leur activité étant strictement encadré par des</w:t>
      </w:r>
    </w:p>
    <w:p>
      <w:r>
        <w:t>- 22/24 - A/1300/2016 exigences visant à délimiter un espace et une durée restreints, il n'apparaît en rien comparable à l'encombrement quasi-permanent de places de stationnement que génère le réseau Vélospot, sans avoir sollicité préalablement de permission à cette fin. Il en va de même de la comparaison avec les entreprises mettant à disposition des voitures en libre-service, si tant est que celle-ci soit adaptée compte tenu des différences entre les moyens de transport en question, dans la mesure où leur exploitation est également soumise à l'obtention d'autorisations spécifiques.</w:t>
      </w:r>
    </w:p>
    <w:p>
      <w:r>
        <w:t>Quant au traitement égal des utilisateurs du système Vélospot par rapport aux particuliers circulant avec leur propre vélo en ville de Genève, rien n'empêche les premiers de parquer les VLS empruntés de manière temporaire sur les places de stationnement réservés aux deux-roues, au même titre que le feraient les seconds. Cet aspect est ainsi tout à fait indépendant de la problématique de la restitution du VLS au terme de son utilisation, à une station prévue à cet effet. Il démontre effectivement que le procédé tendant à stocker des vélos sur la voie publique en les parquant sur les places de stationnement se distingue indéniablement de la location journalière de bicyclettes pour se déplacer en ville avant leur retour à l'entrepôt.</w:t>
      </w:r>
    </w:p>
    <w:p>
      <w:r>
        <w:t>Il en résulte également que le coût payé par les utilisateurs du réseau Vélospot pour circuler avec ces VLS, que ce soit par le biais d'un abonnement annuel ou de tarifs horaire ou journalier, vise à rétribuer la mise à disposition globale de ceux-ci, laquelle comprend tant l'usage pour circuler que le stationnement. L'intimée tire donc un avantage financier du stationnement de ses vélos sur les emplacements réservés aux deux-roues. En ces circonstances, il lui revient d'assumer son choix d'avoir installé son réseau Vélospot sur le territoire communal genevois sans s'être assurée au préalable de la nécessité ou non d'obtenir une permission pour ce faire.</w:t>
      </w:r>
    </w:p>
    <w:p>
      <w:r>
        <w:t>c. Au vu ce qui précède, force est de constater que le réseau Vélospot mis en place par l'intimée sur le territoire communal genevois consacre un usage accru de ce domaine public. L'exigence d'une rétribution pour en user concrétise la finalité commerciale de cette entreprise. Cela étant dit, cette dernière condition apparaît accessoire, dès lors que la seule utilisation excédant l'usage commun est déjà légalement subordonnée à permission.</w:t>
      </w:r>
    </w:p>
    <w:p>
      <w:r>
        <w:t>Retenir le contraire équivaudrait à permettre le développement d'une multitude de réseaux indépendants à l'image de celui de l'intimée, tendant à encombrer les places de stationnement pour deux-roues, ce qui laisserait présager d'une désorganisation importante des voies publiques. Tant les principes susrappelés que le bon sens imposent donc de préserver l'intérêt public, résidant dans la nécessité pour la recourante de conserver la maîtrise de la chose publique. Finalement, il appartient aux seules autorités publiques d'apprécier l'adéquation des réseaux de transport aux plans dont elles se sont dotées dans la perspective</w:t>
      </w:r>
    </w:p>
    <w:p>
      <w:r>
        <w:t>- 23/24 - A/1300/2016 d'encourager la mobilité douce tout en préservant la sécurité et la convivialité de l'espace public.</w:t>
      </w:r>
    </w:p>
    <w:p>
      <w:r>
        <w:rPr>
          <w:b/>
        </w:rPr>
        <w:t>E. 9</w:t>
      </w:r>
    </w:p>
    <w:p>
      <w:r>
        <w:t>Le recours sera donc admis. Le jugement du TAPI du 12 décembre 2016 sera annulé et la décision du 22 mars 2016 de la recourante confirmée. Celle-ci ne mentionnant aucun délai d'exécution, la cause sera retournée à la recourante pour fixation.</w:t>
      </w:r>
    </w:p>
    <w:p>
      <w:r>
        <w:rPr>
          <w:b/>
        </w:rPr>
        <w:t>E. 10</w:t>
      </w:r>
    </w:p>
    <w:p>
      <w:r>
        <w:t>Le présent arrêt au fond rend sans objet la demande de restitution de l’effet suspensif formulée par l'intimée.</w:t>
      </w:r>
    </w:p>
    <w:p>
      <w:r>
        <w:rPr>
          <w:b/>
        </w:rPr>
        <w:t>E. 11</w:t>
      </w:r>
    </w:p>
    <w:p>
      <w:r>
        <w:t>Vu l’issue de la procédure, un émolument de CHF 1'000.- sera mis à la charge de l’intimée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