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ATA/1346/2015 vom 15. Dezember 2015</w:t>
      </w:r>
    </w:p>
    <w:p>
      <w:r>
        <w:t>GE Cour de justice, 2015-12-15, FR</w:t>
      </w:r>
    </w:p>
    <w:p>
      <w:r>
        <w:rPr>
          <w:b/>
        </w:rPr>
        <w:t xml:space="preserve">Quelle: </w:t>
      </w:r>
      <w:r>
        <w:t>https://mcp.opencaselaw.ch/entscheid/ge_gerichte_ATA_1346_2015</w:t>
      </w:r>
    </w:p>
    <w:p>
      <w:r>
        <w:t>FR: GE_GERICHTE ATA/1346/2015 du 15 décembre 2015</w:t>
      </w:r>
    </w:p>
    <w:p>
      <w:r>
        <w:t>IT: GE_GERICHTE ATA/1346/2015 del 15 dicembre 2015</w:t>
      </w:r>
    </w:p>
    <w:p>
      <w:pPr>
        <w:pStyle w:val="Heading2"/>
      </w:pPr>
      <w:r>
        <w:t>Regeste</w:t>
      </w:r>
    </w:p>
    <w:p>
      <w:r>
        <w:t>Résumé: L'exploitation d'un salon de prostitution dans une villa sise en cinquième zone de construction constitue un changement d'affectation soumis à autorisation. Confirmation de l'amende pour contravention à la LCI, la recourante ayant omis de requérir une autorisation pour ladite exploitation. Confirmation de l'annulation de l'ordre de remise à l'état d'origine de la villa et du renvoi du dossier au DALE pour examen de la possibilité d'octroi d'une dérogation, une demande ayant entretemps été déposée en ce sens. Recours rejeté.</w:t>
      </w:r>
    </w:p>
    <w:p>
      <w:pPr>
        <w:pStyle w:val="Heading2"/>
      </w:pPr>
      <w:r>
        <w:t>Erwägungen</w:t>
      </w:r>
    </w:p>
    <w:p>
      <w:r>
        <w:rPr>
          <w:b/>
        </w:rPr>
        <w:t>E. 2</w:t>
      </w:r>
    </w:p>
    <w:p>
      <w:r>
        <w:t>juin 2015 consid. 27b ; ATA/147/2014 du 11 mars 2014 consid. 9c).</w:t>
      </w:r>
    </w:p>
    <w:p>
      <w:r>
        <w:t>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(ATA/824/2015 précité consid. 14c ; ATA/569/2015 précité consid. 27c ; ATA/147/2014 précité consid. 9d).</w:t>
      </w:r>
    </w:p>
    <w:p>
      <w:r>
        <w:t>- 13/15 - A/1245/2014</w:t>
      </w:r>
    </w:p>
    <w:p>
      <w:r>
        <w:t>Il est ainsi nécessaire que le contrevenant ait commis une faute, fût-ce sous la forme d’une simple négligence (Ulrich HÄFELIN/Georg MÜLLER/Félix UHLMANN, Allgemeines Verwaltungsrecht, 6ème éd., 2010, p. 252 n. 1179). Selon la jurisprudence constante, l’administration doit faire preuve de sévérité afin d’assurer le respect de la loi et jouit d’un large pouvoir d’appréciation pour infliger une amende. La juridiction de céans ne la censure qu’en cas d’excès ou d'abus (ATA/569/2015 précité consid. 27c ; ATA/147/2014 précité consid. 9d ; ATA/160/2009 du 31 mars 2009 consid. 5c). Enfin, l’amende doit respecter le principe de la proportionnalité (art. 36 al. 3 Cst. ; ATA/824/2015 précité consid. 14c ; ATA/147/2014 précité consid. 9d).</w:t>
      </w:r>
    </w:p>
    <w:p>
      <w:r>
        <w:t>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ATA/824/2015 précité consid. 14d ; ATA/569/2015 précité consid. 27d ; ATA/147/2014 précité consid. 9e). 12) En l’espèce, comme exposé ci-dessus, la recourante avait l’obligation de requérir une autorisation de construire pour transformer sa villa d’habitation en salon de massage érotique. Ne l’ayant pas fait, elle s’exposait à des sanctions en vertu de l’art. 137 LCI, de sorte que l’amende est fondée dans son principe, et ce même si l’installation devait être conforme aux prescriptions légales (art. 137 al. 2 LCI). La recourante ne peut se prévaloir à cet égard de ce que l’ordre de remise en état a été annulé par le TAPI. La recourante a tout au moins fait preuve de négligence en ne se renseignant pas auprès de l’autorité compétente sur la nécessité d’une autorisation de construire avant d’exploiter son salon de massage érotique dans une zone résidentielle. À ce titre, même à considérer que la recourante aurait effectivement obtenu des renseignements de la mairie selon lesquels elle pouvait, sans autre, exercer son activité commerciale, ceux-ci émanaient à l’évidence d’une autorité incompétente pour se prononcer sur la problématique soumise. En conséquence, la recourante ne pouvait en aucun cas se satisfaire de leur réponse.</w:t>
      </w:r>
    </w:p>
    <w:p>
      <w:r>
        <w:t>Le montant de CHF 3'000.- apparaît au surplus tout à fait proportionné au regard de la violation de la loi précitée, se situant largement en-deçà du montant maximal d’amende possible de CHF 150'000.- (art. 137 al. 1 LCI), ou CHF 20'000.-, en fonction du caractère conforme ou non de l’activité litigieuse (art. 137 al. 2 LCI).</w:t>
      </w:r>
    </w:p>
    <w:p>
      <w:r>
        <w:t>- 14/15 - A/1245/2014</w:t>
      </w:r>
    </w:p>
    <w:p>
      <w:r>
        <w:t>L’autorité intimée n’a dès lors pas excédé ni abusé de son pouvoir d’appréciation. 13) Mal fondé, le recours sera rejeté. 14) Vu l'issue du litige, un émolument de CHF 500.- sera mis à la charge de Mme A______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