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ATA/1341/2020 vom 22. Dezember 2020</w:t>
      </w:r>
    </w:p>
    <w:p>
      <w:r>
        <w:t>GE Cour de justice, 2020-12-22, FR</w:t>
      </w:r>
    </w:p>
    <w:p>
      <w:r>
        <w:rPr>
          <w:b/>
        </w:rPr>
        <w:t xml:space="preserve">Quelle: </w:t>
      </w:r>
      <w:r>
        <w:t>https://mcp.opencaselaw.ch/entscheid/ge_gerichte_ATA_1341_2020</w:t>
      </w:r>
    </w:p>
    <w:p>
      <w:r>
        <w:t>FR: GE_GERICHTE ATA/1341/2020 du 22 décembre 2020</w:t>
      </w:r>
    </w:p>
    <w:p>
      <w:r>
        <w:t>IT: GE_GERICHTE ATA/1341/2020 del 22 dicembre 2020</w:t>
      </w:r>
    </w:p>
    <w:p>
      <w:pPr>
        <w:pStyle w:val="Heading2"/>
      </w:pPr>
      <w:r>
        <w:t>Erwägungen</w:t>
      </w:r>
    </w:p>
    <w:p>
      <w:r>
        <w:rPr>
          <w:b/>
        </w:rPr>
        <w:t>E. 26</w:t>
      </w:r>
    </w:p>
    <w:p>
      <w:r>
        <w:t>septembre 2010 - LOJ - E 2 05 ; art. 62 al. 1 let. a de la loi sur la procédure administrative du 12 septembre 1985 - LPA - E 5 10). 2)</w:t>
      </w:r>
    </w:p>
    <w:p>
      <w:r>
        <w:t>Les intimées contestent la recevabilité du recours, qui ne serait pas suffisamment motivé.</w:t>
      </w:r>
    </w:p>
    <w:p>
      <w:r>
        <w:t>a. Selon l’art. 65 LPA, l’acte de recours contient sous peine d’irrecevabilité, la désignation de la décision attaquée et les conclusions de la recourante ou du recourant (al. 1). En outre, il doit contenir l’exposé des motifs ainsi que l’indication des moyens de preuve. Les pièces dont dispose la personne recourante doivent être jointes. À défaut, un bref délai pour satisfaire à ces exigences est fixé à cette dernière, sous peine d’irrecevabilité (al. 2).</w:t>
      </w:r>
    </w:p>
    <w:p>
      <w:r>
        <w:t>b. Compte tenu du caractère peu formaliste de cette disposition, il convient de ne pas se montrer trop strict sur la manière dont sont formulées les conclusions de la personne recourante. Le fait que ces dernières ne ressortent pas expressément de l’acte de recours n’est pas en soi un motif d’irrecevabilité, pourvu que le tribunal et la partie adverse puissent comprendre avec certitude les fins de la recourante ou du recourant (ATA/595/2020 du 16 juin 2020 consid. 2b).</w:t>
      </w:r>
    </w:p>
    <w:p>
      <w:r>
        <w:t>c. L’exigence de motivation de l’art. 65 al. 2 LPA a pour but de permettre à la juridiction administrative de déterminer l’objet du litige qui lui est soumis et de donner l’occasion à la partie intimée de répondre aux griefs formulés à son encontre. Elle signifie que la personne recourante doit expliquer en quoi et pourquoi elle s’en prend à la décision litigieuse (ATA/1672/2019 du 12 novembre 2019 consid. 6a ; Pierre MOOR/Étienne POLTIER, Droit administratif, vol. 2, 3ème éd., 2011, p. 803 ss n. 8.8.1.3). L’exigence de la motivation est considérée comme remplie lorsque les motifs du recours, sans énoncer les conclusions formelles, permettent de comprendre aisément ce que la personne recourante désire (arrêt du Tribunal fédéral 2C_823/2017 du 23 mars 2018 consid. 4 ; ATA/1588/2019 du 29 octobre 2019 consid. 5b).</w:t>
      </w:r>
    </w:p>
    <w:p>
      <w:r>
        <w:t>d. En l'espèce, l'autorité recourante a conclu à l'annulation du jugement du TAPI et à la confirmation de son arrêté. Elle a par ailleurs expliqué de manière détaillée dans son acte de recours les points sur lesquels elle contestait le jugement</w:t>
      </w:r>
    </w:p>
    <w:p>
      <w:r>
        <w:t>- 9/19 - A/2085/2019 du TAPI, développant son argumentation en droit sur environ quatre pages. Elle a ainsi exposé les bases légales sur lesquelles elle fondait son argumentation et a ensuite expliqué pourquoi, à son avis, la solution retenue par le TAPI était erronée, permettant à la chambre de céans de déterminer clairement l'objet du litige et aux intimées de répondre aux griefs soulevés, ces dernières ayant d'ailleurs développé leur réponse sur une quinzaine de pages.</w:t>
      </w:r>
    </w:p>
    <w:p>
      <w:r>
        <w:t>Le recours est pas conséquent suffisamment motivé et sera déclaré recevable. 3)</w:t>
      </w:r>
    </w:p>
    <w:p>
      <w:r>
        <w:t>Le litige porte sur la conformité au droit du jugement du TAPI annulant l'arrêté de l'autorité recourante et ordonnant à cette dernière de délivrer l'autorisation sollicitée, soit d'autoriser A______ à céder à B______ le certificat d'actions no 3______ de E______, conférant le droit de louer l'appartement no 4______. 4)</w:t>
      </w:r>
    </w:p>
    <w:p>
      <w:r>
        <w:t>Les intimées demandent la production des cinquante dernières décisions octroyant des autorisations d'aliéner un appartement.</w:t>
      </w:r>
    </w:p>
    <w:p>
      <w:r>
        <w:t>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Ce droit n'empêche cependant pas la juridiction saisie de renoncer à l'administration de certaines preuves offertes et de procéder à une appréciation anticipée de ces dernières, si elle acquiert la certitude que celles-ci ne l'amèneront pas à modifier son opinion ou si le fait à établir résulte déjà des constatations ressortant du dossier (ATF 140 I 285 consid. 6.3.1 ; 136 I 229 consid. 5.2).</w:t>
      </w:r>
    </w:p>
    <w:p>
      <w:r>
        <w:t>b. En l'espèce, la demande de production est formulée dans le but de démontrer que l'autorité recourante aurait une pratique tendant à la délivrance d'autorisations d'aliéner assorties d'une réserve concernant l'application ultérieure de l'art. 39 al. 4 de la loi sur les démolitions, transformations et rénovations de maisons d'habitation (mesures de soutien en faveur des locataires et de l'emploi) du 25 janvier 1996 (LDTR - L 5 20). Néanmoins, l'existence d'une telle pratique n'est pas déterminante dans le cas d'espèce, compte tenu de ce qui suit, et la chambre administrative dispose d'un dossier complet lui permettant de trancher le litige en toute connaissance de cause.</w:t>
      </w:r>
    </w:p>
    <w:p>
      <w:r>
        <w:t>Il ne sera par conséquent pas donné suite à la requête des intimées. 5)</w:t>
      </w:r>
    </w:p>
    <w:p>
      <w:r>
        <w:t>L'autorité recourante affirme que l'autorisation d'aliéner ne devrait pas être délivrée.</w:t>
      </w:r>
    </w:p>
    <w:p>
      <w:r>
        <w:t>- 10/19 - A/2085/2019</w:t>
      </w:r>
    </w:p>
    <w:p>
      <w:r>
        <w:t>a.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 dans les limites du chapitre relatif aux mesures visant à lutter contre la pénurie d'appartements locatifs (art. 25 al. 1 LDTR). Il y a pénurie d'appartements lorsque le taux des logements vacants considéré par catégorie est inférieur à 2 % du parc immobilier de la même catégorie (art. 25 al. 2 LDTR). Les appartements de plus de sept pièces n'entrent pas dans une catégorie où sévit la pénurie (art. 25 al. 3 LDTR).</w:t>
      </w:r>
    </w:p>
    <w:p>
      <w:r>
        <w:t>b. Selon l'art. 11 al. 3 du règlement d'application de la LDTR du 29 avril 1996 (RDTR - L 5 20.01), 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Nonobstant la teneur de l'art. 11 al. 3 RDTR, une autorisation d'aliéner doit impérativement être requise en cas de vente d'un ou plusieurs appartement(s) acquis par voie d'adjudication (art. 11 al. 4 RDTR).</w:t>
      </w:r>
    </w:p>
    <w:p>
      <w:r>
        <w:t>c. Les catégories de logements où sévit la pénurie sont déterminées chaque année par arrêté du Conseil d'État en fonction du nombre de pièces par appartement (art. 11 al. 1 RDTR). Le Conseil d'État a constaté en 2018, 2019 et 2020 qu'il y avait pénurie, au sens des art. 25 et 39 LDTR, dans toutes les catégories des appartements d'une à sept pièces inclusivement (arrêtés du Conseil d'État déterminant les catégories de logements où sévit la pénurie en vue de l'application des art. 25 à 39 LDTR des 29 novembre 2017, 19 décembre 2018 et 1er juillet 2020 - ArAppart - L 5 20.03).</w:t>
      </w:r>
    </w:p>
    <w:p>
      <w:r>
        <w:t>d. En l'espèce, l'appartement concerné – situé dans un immeuble d'habitation en troisième zone de développement et donc assujetti à la LDTR (art. 2 LDTR) – entre, par son nombre de pièces, dans une catégorie de logements où sévit la pénurie et est actuellement offert à la location. Son aliénation, notamment par le biais du transfert du certificat d'actions de la SIAL correspondant, est par conséquent soumise à autorisation, conclusion qui n'est d'ailleurs contestée ni par l'autorité recourante, ni par les intimées. 6) a. Le DT autorise l'aliénation d'un appartement si celui-ci a été dès sa construction soumis au régime de la PPE ou à une forme de propriété analogue,</w:t>
      </w:r>
    </w:p>
    <w:p>
      <w:r>
        <w:t>- 11/19 - A/2085/2019 sous réserve du régime applicable à l’aliénation d’appartements destinés à la vente régi par l’article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 personne acquéreuse ne peut les revendre que sous la même forme, sous réserve de l'obtention d'une autorisation individualisée (art. 39 al. 4 LDTR).</w:t>
      </w:r>
    </w:p>
    <w:p>
      <w:r>
        <w:t>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(ATA/725/2020 du 4 août 2020 consid. 2f ; ATA/870/2019 du 7 mai 2019 consid. 4b)</w:t>
      </w:r>
    </w:p>
    <w:p>
      <w:r>
        <w:t>b. 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 1C_139/2011 ; 1C_141/2011 ; 1C_143/2011 du 14 juillet 2011 ; ATA/545/2020 du 29 mai 2020 consid. 5).</w:t>
      </w:r>
    </w:p>
    <w:p>
      <w:r>
        <w:t>Dans le cadre de l'examen de la requête en autorisation, le DALE procède à la pesée des intérêts publics et privés en présence (art. 13 al. 1 RDTR). L'intérêt privé est présumé l'emporter sur l'intérêt public lorsque la ou le propriétaire doit vendre l'appartement par nécessité de liquider un régime matrimonial ou une succession (let. a), par nécessité de satisfaire aux exigences d'un plan de désendettement (let. b), ou du fait de la prise d'un nouveau domicile en dehors du canton (let. c ; art. 13 al. 3 RDTR). Le DALE refuse l'autorisation lorsqu'un motif prépondérant d'intérêt public ou d'intérêt général s'y oppose. L'intérêt public et l'intérêt général résident dans le maintien, en période de pénurie de logements, de l'affectation locative des appartements loués (art. 39 al. 2 LDTR).</w:t>
      </w:r>
    </w:p>
    <w:p>
      <w:r>
        <w:t>La politique prévue par la LDTR, qui tend à préserver l'habitat et les conditions de vie existants, en restreignant notamment le changement d'affectation des maisons d'habitation (art. 1 al. 1 et 2 let. a LDTR), procède d'un intérêt public important (arrêts du Tribunal fédéral 1C_416/2016 du 27 mars 2017 consid. 2.3 ; 1C_68/2015 du 5 août 2015 consid. 2.3 ; 1C_143/2011 du 14 juillet 2011). Le refus de l'autorisation de vendre un appartement loué lorsqu'un motif prépondérant d'intérêt public ou d'intérêt général s'y oppose n'est pas contraire au principe de la proportionnalité, dès lors qu'il est consécutif, de la part de l'autorité</w:t>
      </w:r>
    </w:p>
    <w:p>
      <w:r>
        <w:t>- 12/19 - A/2085/2019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consid. 7b/aa ; ATA/1313/2019 du 3 septembre 2019 consid. 7).</w:t>
      </w:r>
    </w:p>
    <w:p>
      <w:r>
        <w:t>Dans le cas d'appartements en PPE, la vente en bloc de ces derniers doit être préférée à la vente par unités séparées, ce procédé-là ne mettant en principe pas en péril les buts de la LDTR (arrêt du Tribunal fédéral 1C_137/2011 précité consid. 3.3).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pour éviter une telle atteinte par des « ventes à la découpe ». Ainsi, même en cas de vente en bloc, l'aliénatrice ou aliénateur doit justifier d'un intérêt privé particulier (arrêt du Tribunal fédéral 1C_137/2011 précité consid. 3.3). 7) a. Le principe de la bonne foi entre administration et administré, exprimé aux art. 9 et 5 al. 3 Cst. exige que l'une et l'autre se comportent réciproquement de manière loyale. En particulier, l'administration doit s'abstenir de toute attitude propre à tromper l'administrée ou l'administré et elle ne saurait tirer aucun avantage des conséquences d'une incorrection ou insuffisance de sa part (ATF 138 I 49 consid. 8.3 ; 129 I 161 consid. 4 ; arrêt du Tribunal fédéral 2C_227/2015 du 31 mai 2016 consid. 7 ; Thierry TANQUEREL, Manuel de droit administratif, 2ème éd., 2018, n. 568 p. 203).</w:t>
      </w:r>
    </w:p>
    <w:p>
      <w:r>
        <w:t>b. Il y a fraude à la loi – forme particulière d'abus de droit – lorsqu'une ou un justiciable évite l'application d'une norme imposant ou interdisant un certain résultat par le biais d'une autre norme permettant d'aboutir à ce résultat de manière apparemment conforme au droit (ATF 142 II 206 consid. 2.3 ; arrêt du Tribunal fédéral 1C_124/2017 précité consid. 4.1). La norme éludée doit alors être appliquée nonobstant la construction juridique destinée à la contourner (ATF 142 II 206 consid. 2.3 ; 134 I 65 consid. 5.1 ; arrêt du Tribunal fédéral 1C_124/2017 du 23 novembre 2017 consid. 4.1). Pour être sanctionné, un abus de droit doit apparaître manifeste. L'autorité qui entend faire appliquer la norme éludée doit établir l'existence d'une fraude à la loi, ou du moins démontrer l'existence de soupçons sérieux dans ce sens. Cette appréciation doit se faire au cas par cas, en fonction des circonstances d'espèce (ATF 144 II 49 consid. 2.2). 8)</w:t>
      </w:r>
    </w:p>
    <w:p>
      <w:r>
        <w:t>En l'espèce, le TAPI a constaté, à juste titre, qu'aucun des cas de délivrance des autorisations d'aliéner selon l'art. 39 al. 4 LDTR n'était réalisé, conclusion qui n'est pas contestée devant la chambre administrative, les intimées ayant abandonné leur argumentation selon laquelle le cas d'espèce constituerait une</w:t>
      </w:r>
    </w:p>
    <w:p>
      <w:r>
        <w:t>- 13/19 - A/2085/2019 vente en bloc. L'autorité recourante remet cependant en cause la pesée des intérêts effectuée par l'instance précédente en application de l'art. 39 al. 2 LDTR. 9) a. Les intérêts qui s'opposent sont, d'une part, les intérêts privés de la cédante à vendre le certificat d'actions no 3______, emportant le droit de louer l'appartement no 4______, à la cessionnaire et ceux de cette dernière à l'acquérir ainsi que, d'autre part, l'intérêt public à la protection du parc locatif genevois.</w:t>
      </w:r>
    </w:p>
    <w:p>
      <w:r>
        <w:t>Le TAPI a retenu que les intérêts invoqués par les intimées n'étaient pas « spécialement importants », mais que l'aliénation de l'appartement considéré, par le biais de la cession du certificat d'actions attaché à celui-ci, n'avait pas pour effet de faire perdre l'affectation locative du logement – l'immeuble demeurant en SIAL et la titulaire du certificat d'actions restant légalement une locataire – et ne parachevait pas le processus d'individualisation de l'appartement en question – n'impliquant en réalité aucun changement de la situation.</w:t>
      </w:r>
    </w:p>
    <w:p>
      <w:r>
        <w:t>b. A______ a fait valoir, à l'appui de sa requête en autorisation d'aliéner, sa volonté de ne pas rester dans la SIAL suite à l'arrêt du Tribunal fédéral 1C_123/2017 précité et son besoin de liquidités.</w:t>
      </w:r>
    </w:p>
    <w:p>
      <w:r>
        <w:t>Le fait de vouloir sortir de la SIAL car la fraude à la loi n'a pas pu aboutir, contrairement à ce qui était prévu par l'intermédiaire de la succession d'opérations mises en place, destinée à aboutir à l'acquisition du lot de PPE sans devoir requérir d'autorisation d'aliéner, ne peut constituer un intérêt à prendre en compte dans la pesée des intérêts, sauf à récompenser ladite fraude à loi. A______ était partie à la procédure qui a donné lieu à l'arrêt du Tribunal fédéral 1C_123/2017 précité, de sorte que la constatation de fraude à la loi intervenue dans cette procédure lui est directement opposable. Par ailleurs, l'acte de cession de 2012 mentionnait déjà la future modification des statuts, qui, lorsqu'elle est intervenue, a directement lié le certificat d'actions no 3______ au lot de PPE no 4______, alors même que l'immeuble n'était pas encore soumis au régime de la PPE. En outre, le fait que A______ souhaite vendre en raison de l'arrêt du Tribunal fédéral 1C_123/2017, et donc en raison du fait qu'elle ne peut devenir propriétaire de la part de PPE, ne fait d'ailleurs que confirmer qu'elle avait initialement acheté les actions dans le but de devenir, à terme, propriétaire de l'appartement, ceci alors même qu'il ne s'agissait alors pas d'acheter une part de PPE, ni même des actions dans une SIAL, mais simplement les actions d'une société propriétaire d'un immeuble, puisque E______ a été transformée en SIAL postérieurement à l'achat des actions. Ceci démontre que, contrairement à ce qu'a retenu l'instance précédente, la cédante n'était pas en marge du système mis en place mais y a participé dès la conclusion de la première cession. Dans ce contexte, l'intérêt de LBMZ à sortir d'un système dans lequel elle est sciemment entrée, et mis en place afin de contourner la loi, ne peut en tant que tel être protégé.</w:t>
      </w:r>
    </w:p>
    <w:p>
      <w:r>
        <w:t>- 14/19 - A/2085/2019</w:t>
      </w:r>
    </w:p>
    <w:p>
      <w:r>
        <w:t>Quant au prétendu besoin de liquidités, A______ n'a apporté aucune substance à son allégation. Elle n'a ainsi pas démontré l'état de sa situation financière ni expliqué pourquoi elle aurait besoin de ces liquidités.</w:t>
      </w:r>
    </w:p>
    <w:p>
      <w:r>
        <w:t>Au vu de ce qui précède, les intérêts évoqués n'ont pas de substance et la cédante n'a pas établi d'autres intérêts que sa pure convenance personnelle pour justifier sa volonté d'aliéner l'appartement.</w:t>
      </w:r>
    </w:p>
    <w:p>
      <w:r>
        <w:t>Il sera à cet égard constaté que les deux intérêts invoqués par A______ sont en réalité des intérêts génériques qui ont également été invoqués pour d'autres aliénations d'actions de la même SIAL et d'une autre SIAL également liée à M. D______ dans des causes parallèles, dans la plupart des cas avec exactement les mêmes mots, ce qui ne fait que confirmer que son intérêt relève en réalité de la convenance personnelle.</w:t>
      </w:r>
    </w:p>
    <w:p>
      <w:r>
        <w:t>c. En ce qui concerne les intérêts privés de la cessionnaire, les intimées ont indiqué que B______ achetait le certificat d'actions à titre d'investissement, soit pour des motifs commerciaux. 10) Face à ces intérêts privés, purement commerciaux et de convenance personnelle, se trouve l'intérêt public au maintien de l'affectation locative de l'appartement, sur lequel le TAPI s'est en définitive basé pour retenir que l'autorisation d'aliéner devait être accordée, puisqu'il ne serait aucunement affecté par la cession en cause.</w:t>
      </w:r>
    </w:p>
    <w:p>
      <w:r>
        <w:t>Toutefois, contrairement à ce qu'a retenu le TAPI, ladite cession ne fait pas que répéter l'opération lors de laquelle le certificat d'actions est passée de E______ (recte : M. D______) à F______, puis de F______ à A______, puisque E______ n'était alors pas constituée sous forme de SIAL et qu'il y a alors eu uniquement un transfert d'actions sans lien avec un appartement précis. En réalité, et contrairement au raisonnement de l'instance précédente, la cession litigieuse ne peut être considérée isolément de l'ensemble des opérations effectuées par rapport à l'immeuble. En effet, dans le cadre du litige relatif aux demandes d'autorisation d'aliéner des parts de PPE aux actionnaires correspondants, le Tribunal fédéral a constaté que la succession des opérations – vente des actions entre avril et juillet 2012, transformation en SIAL le 19 juillet 2012, mise en PPE de l'immeuble le 31 août 2012 et transfert des lots de PPE en février et mars 2014 – faisait apparaître qu'il s'agissait d'un montage mis sur pied dès l'origine (arrêt du Tribunal fédéral 1C_123/2017 précité consid. 4.4). Or, si l'opération présentement considérée n'a elle pas été envisagée dès l'origine, il s'agit d'une solution alternative adoptée en raison de l'impossibilité d'aliéner les parts de PPE, laquelle permet de parachever, à l'issue de toutes les opérations préalables, l'individualisation de l'appartement concerné et de légitimer cette individualisation si elle était validée par autorisation d'aliéner. En dépit de son caractère subsidiaire, il n'en demeure pas moins qu'il</w:t>
      </w:r>
    </w:p>
    <w:p>
      <w:r>
        <w:t>- 15/19 - A/2085/2019 s'agit d'une étape finale de la fraude à la loi mise sur pied dès l'origine et constatée par le Tribunal fédéral.</w:t>
      </w:r>
    </w:p>
    <w:p>
      <w:r>
        <w:t>Comme le souligne l'autorité recourante, le caractère insolite de l'ensemble des opérations est d'autant plus confirmé dans le cas d'espèce par l'omniprésence de M. D______. En effet, F______ a acheté à M. D______ des actions d'une première société dont M. D______ est administrateur président, E______, et qui a son siège auprès d'une deuxième société, C______, dont M. D______ est également administrateur président. F______ ayant ensuite cédé ses actions à A______ – les deux sociétés partageant les mêmes administrateur président et administratrice –, A______ souhaite à présent revendre les actions de la première société, E______, après sa transformation en SIAL, à une troisième société dont M. D______ est aussi administrateur président, B______, et qui a également son siège auprès de C______, les deux parties se faisant de plus représenter, dans le cadre du litige sur l'autorisation d'aliéner, par C______. La requête en autorisation d'aliéner indique expressément qu'il s'agit en réalité d'une ré-acquisition par M. D______, par l'intermédiaire de l'une de ses sociétés.</w:t>
      </w:r>
    </w:p>
    <w:p>
      <w:r>
        <w:t>Ce qui précède démontre l'ampleur et la finesse du montage mis sur pied afin d'aboutir au final à l'individualisation de l'appartement, par le biais d'une fraude à la loi, stratégie dans laquelle les protagonistes ont persisté en dépit de sa constatation par les instances judicaires, y compris le Tribunal fédéral. Or, l'octroi de l'autorisation d'aliéner reviendrait à valider ladite fraude à la loi et à la couronner de succès, par la finalisation de l'individualisation de l'appartement malgré l'absence d'intérêts privés substantiels, un tel résultat se heurtant à un intérêt public évident. À cet égard, il convient de relever que, contrairement à ce que soutiennent les intimées et à ce qu'a retenu le TAPI, le fait que l'appartement demeure dans la SIAL et que l'actionnaire garde un droit de location sur cet appartement ne permet pas de conclure que tout risque de sortie du parc locatif est exclu, puisque la location existant dans le cadre de la SIAL constitue une forme analogue à la propriété (ATA/80/2014 du 12 février 2014 consid. 7). C'est d'ailleurs précisément pour cette raison que le transfert du certificat d'actions est soumis à autorisation conformément au texte de l'art. 39 al. 1 LDTR. Il n'est au surplus pas établi que A______ serait devenue locataire. En effet, son statut d'actionnaire de la SIAL lui confère le droit de louer l'appartement, mais non l'obligation de le faire et les conclusions d'accord figurant au dossier, postérieures à la première cession et à la transformation en SIAL, ont été conclues entre la locataire et E______, et non A______.</w:t>
      </w:r>
    </w:p>
    <w:p>
      <w:r>
        <w:t>Le montage mis sur pied pour aboutir finalement, sans intérêt privé prépondérant, à l'individualisation de l'appartement, n'est que confirmé par la proximité temporelle avec laquelle d'autres actionnaires de la SIAL et d'une autre SIAL également liée à M. D______ – qui a fait l'objet de l'arrêt du Tribunal fédéral 1C_124/2017 précité – ont également sollicité des autorisations d'aliéner</w:t>
      </w:r>
    </w:p>
    <w:p>
      <w:r>
        <w:t>- 16/19 - A/2085/2019 leurs certificats d'actions, toujours à des sociétés ayant des liens avec M. D______. Comme relevé par le TAPI, ces demandes ont aussi fait l'objet de refus et font l'objet de causes parallèles, également délibérées ce jour.</w:t>
      </w:r>
    </w:p>
    <w:p>
      <w:r>
        <w:t>Au surplus, il sera relevé que contrairement à ce qu'ont retenu l'autorité intimée et le TAPI, pour rétablir la situation initiale, il faudrait que les actions soient cédées à M. D______, cédant initial en 2012, et non à E______.</w:t>
      </w:r>
    </w:p>
    <w:p>
      <w:r>
        <w:t>Pour le reste, il sera constaté qu'il ne revient pas à l'autorité recourante, ni à la chambre de céans de trouver la solution permettant à la cédante de sortir de la situation dans laquelle elle se retrouve du fait même de la tentative de fraude à la loi.</w:t>
      </w:r>
    </w:p>
    <w:p>
      <w:r>
        <w:t>Au vu de l'ensemble des éléments qui précèdent, l'intérêt public est largement prépondérant et l'emporte sur les intérêts privés invoqués. L'instance précédente a par conséquent abusé de son pouvoir d'appréciation en retenant le contraire et le grief sera admis. 11) Enfin, conformément à la jurisprudence du Tribunal fédéral applicable au vu de la large prépondérance de l'intérêt public en l'espèce (arrêt du Tribunal fédéral 1C_124/2017 précité consid. 3.2), la restriction est conforme à la garantie de la propriété consacrée par l'art. 26 Cst.. 12) Néanmoins, devant le TAPI, les intimées avaient invoqué la nullité de l'arrêté litigieux, du fait de son prononcé hors délai. Si les intimées n'ont pas maintenu cette argumentation devant la chambre de céans, la nullité est constatée d'office, de sorte qu'il convient d'examiner ce grief contre la décision de l'autorité recourante.</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précité consid. 4.1).</w:t>
      </w:r>
    </w:p>
    <w:p>
      <w:r>
        <w:t>b. Les art. 2 à 4 de la loi sur les constructions et les installations diverses du 14 avril 1988 (LCI - L 5 05) sont applicables par analogie aux demandes</w:t>
      </w:r>
    </w:p>
    <w:p>
      <w:r>
        <w:t>- 17/19 - A/2085/2019 d’autorisation découlant de la LDTR (art. 40 al. 1 LDTR). Le délai de réponse à toute demande d’autorisation est de soixante jours à compter de la date d’enregistrement de la demande (art. 4 al. 1 1ère phr. LCI). Lorsque le département demande des pièces ou renseignements complémentaires nécessaires, le délai est suspendu jusqu’à réception des documents. La personne requérante en est avisée par écrit (art. 4 al. 3 LCI). Si la personne requérante n’a pas reçu de réponse dans le délai, elle peut aviser le département, par lettre recommandée, qu’elle va procéder à l’exécution de ses plans. À défaut de notification de la décision dans un nouveau délai de dix jours à compter de la réception de cet avis, la personne requérante est en droit de commencer les travaux (art. 4 al. 4 LCI).</w:t>
      </w:r>
    </w:p>
    <w:p>
      <w:r>
        <w:t>Selon la jurisprudence, le droit de commencer le chantier en exécution des plans déposés selon l'art. 4 al. 4 LCI doit être interprété comme n'ayant pas valeur d'autorisation de construire, conformément à l'interprétation historique de cette norme et comme le dicte l'interprétation conforme au droit supérieur (ATA/344/2013 du 4 juin 2013 consid. 2c et 2e).</w:t>
      </w:r>
    </w:p>
    <w:p>
      <w:r>
        <w:t>En effet, les dispositions de l'art. 4 al. 1 et 4 LCI existaient déjà dans la législation genevoise applicable aux constructions depuis 1918, sous une forme différente et avec d'autres délais (art. 77 de la loi du 6 avril 1918 – MGC 1918, annexe, p. 312), et ont subsisté au gré des modifications de la législation. Lors de débats parlementaires relatifs à une proposition de modification de l'art. 4 al. 1 LCI (PL 7099), le président alors en charge du département a précisé que l'art. 4 al. 4 LCI prévoyait simplement que lorsque la personne requérante n'obtenait pas de réponse du département, il pouvait commencer les travaux à ses risques et périls, car une décision de refus pouvait lui être notifiée ultérieurement. Les auteurs du projet voulaient introduire comme conséquence de l'inaction du département la délivrance automatique de l'autorisation sollicitée. A contrario, cela indiquait que cet effet n'existait ainsi pas dans la loi, ce que la commission LCI du Grand Conseil a constaté. Cette dernière a alors proposé que le dépassement du délai conduise au refus de l'autorisation, plutôt qu'à la délivrance de celle-ci. Finalement, le parlement n'est pas entré en matière sur ces propositions de modification de l'art. 4 al. 4 LCI (MGC 1994 III p. 2215, séance 21 du 16 juin 1994 ; 1996 I p. 335, séance 3/I du 26 janvier ; 2006-2007 VI, p. 2194, séance 28 du 23 mars 2007 et annexes p. 4332).</w:t>
      </w:r>
    </w:p>
    <w:p>
      <w:r>
        <w:t>En outre, la seule interprétation des art. 4 al. 1 et 4 LCI compatible avec le droit fédéral est celle qui prévoit que le droit de commencer le chantier en exécution des plans déposés n'a pas valeur d'autorisation de construire au sens de l'art. 22 al. 2 de la loi fédérale sur l’aménagement du territoire du 22 juin 1979 (LAT - RS 700). Cette interprétation est également la seule qui permette de sauvegarder les droits de recours des tiers qui, en l'absence de publication de la décision d'autorisation, se verraient dans l'incapacité de recourir. En effet, une décision prise en l'absence de publicité violerait l'art. 33 al. 3 let. a LAT</w:t>
      </w:r>
    </w:p>
    <w:p>
      <w:r>
        <w:t>- 18/19 - A/2085/2019 (ATF 120 Ib 48 consid 2b = JdT 1996 I 562 ; Piermarco ZEN-RUFFINEN, La qualité pour recourir des tiers dans la gestion de l'espace, in Thierry TANQUEREL/François BELLANGER [éd.], Les tiers dans la procédure administrative, 2004, p. 173).</w:t>
      </w:r>
    </w:p>
    <w:p>
      <w:r>
        <w:t>c. En l'espèce, comme le soulignent les intimées, l'autorité intimée n'a de loin pas respecté le délai de soixante jours à compter de l'enregistrement de la demande, applicable par analogie en matière d'autorisation d'aliéner, malgré les relances de C______. Néanmoins, le dépassement de ce délai a uniquement donné le droit aux intimées, après fixation d'un délai de dix jours par courrier recommandé à l'autorité recourante, de procéder à l'exécution de l'aliénation. Ce droit de procéder n'emporte cependant pas autorisation d'aliéner, conformément à la jurisprudence. Il s'agit uniquement d'un droit exercé aux risques et périls des requérantes.</w:t>
      </w:r>
    </w:p>
    <w:p>
      <w:r>
        <w:t>Au vu de ce qui précède, l'arrêté litigieux n'est ni sans objet, ni nul comme l'ont soutenu les intimées devant le TAPI. 13) Dans ces circonstances, le jugement du TAPI sera annulé et l'arrêté sera rétabli.</w:t>
      </w:r>
    </w:p>
    <w:p>
      <w:r>
        <w:t>Vu l'issue du litige, un émolument de CHF 2'000.- sera mis à la charge solidaire des intimées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