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ATA/133/2026 vom 3. Februar 2026</w:t>
      </w:r>
    </w:p>
    <w:p>
      <w:r>
        <w:t>GE Cour de justice, 2026-02-03, FR</w:t>
      </w:r>
    </w:p>
    <w:p>
      <w:r>
        <w:rPr>
          <w:b/>
        </w:rPr>
        <w:t xml:space="preserve">Quelle: </w:t>
      </w:r>
      <w:r>
        <w:t>https://mcp.opencaselaw.ch/entscheid/ge_gerichte_ATA_133_2026</w:t>
      </w:r>
    </w:p>
    <w:p>
      <w:r>
        <w:t>FR: GE_GERICHTE ATA/133/2026 du 3 février 2026</w:t>
      </w:r>
    </w:p>
    <w:p>
      <w:r>
        <w:t>IT: GE_GERICHTE ATA/133/2026 del 3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recourant sollicite sa comparution personnelle et reproche au TAPI de ne pas l’avoir ordonnée.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le recourant a apporté des pièces au dossier et fourni des explications détaillées tant devant l’OCPM que devant le TAPI et la chambre de céans. Il n'indique pas en quoi sa comparution personnelle serait à même d'apporter des éléments utiles à la solution du litige qu'il ne pourrait consigner par écrit.</w:t>
      </w:r>
    </w:p>
    <w:p>
      <w:r>
        <w:t>- 9/15 - A/3728/2024 Il ne sera dès lors pas procédé aux actes d’instruction sollicités, et le grief de violation du droit d'être entendu par le TAPI sera écarté pour les mêmes motifs.</w:t>
      </w:r>
    </w:p>
    <w:p>
      <w:r>
        <w:rPr>
          <w:b/>
        </w:rPr>
        <w:t>E. 3</w:t>
      </w:r>
    </w:p>
    <w:p>
      <w:r>
        <w:t>Le litige porte le refus de l'OCPM de délivrer au recourant une autorisation de séjour et transmettre au SEM son dossier avec un préavis favorable, ainsi que sur son renvoi de Suisse.</w:t>
      </w:r>
    </w:p>
    <w:p>
      <w:r>
        <w:rPr>
          <w:b/>
        </w:rPr>
        <w:t>E. 3.1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1er janvier 2019 sont régies par l’ancien droit.</w:t>
      </w:r>
    </w:p>
    <w:p>
      <w:r>
        <w:rPr>
          <w:b/>
        </w:rPr>
        <w:t>E. 3.2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du dépôt de la demande,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Domaine des étrangers [ci-après : directives LEI], état au 1er janvier 2021, ch. 5.6.12).</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ATA/1184/2025 du 28 octobre 2025 consid. 3.3).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w:t>
      </w:r>
    </w:p>
    <w:p>
      <w:r>
        <w:t>- 10/15 - A/3728/2024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3.4</w:t>
      </w:r>
    </w:p>
    <w:p>
      <w:r>
        <w:t>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Ces conditions, notamment celle du séjour continu en Suisse, devaient exister au moment du dépôt de la demande (ATA/700/2025 du 24 juin 2025 consid. 4.12 et les arrêts cités). L'« opération Papyrus »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(ATA/254/2023 du 14 mars 2023 consid. 2.1.4).</w:t>
      </w:r>
    </w:p>
    <w:p>
      <w:r>
        <w:rPr>
          <w:b/>
        </w:rPr>
        <w:t>E. 3.5</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3.6</w:t>
      </w:r>
    </w:p>
    <w:p>
      <w:r>
        <w:t>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w:t>
      </w:r>
    </w:p>
    <w:p>
      <w:r>
        <w:t>- 11/15 - A/3728/2024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 ; arrêt du Tribunal fédéral 2C_516/2022 du 22 mars 2023 consid. 6.1). L’examen de la proportionnalité de la mesure, imposé par l’art. 96 LEI, se confond avec celui qui est prévu à l’art. 8 § 2 CEDH (ATF 139 I 31 consid. 2.3.2 ; 139 I 145 consid. 2.2).</w:t>
      </w:r>
    </w:p>
    <w:p>
      <w:r>
        <w:rPr>
          <w:b/>
        </w:rPr>
        <w:t>E. 3.7</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3.8</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3.9</w:t>
      </w:r>
    </w:p>
    <w:p>
      <w:r>
        <w:t>En l’espèce, le recourant soutient être arrivé en Suisse en 2007 et y séjourner de manière continue depuis. Le TAPI a retenu à juste titre que le recourant ne pouvait pas se prévaloir d'un séjour continu de dix ans avant sa demande d'autorisation de séjour déposée le 26 juin 2017. En effet, aucune pièce probante fournie par le recourant ne concerne les années 2007 à 2009. Si le recourant a été acquitté des infractions pénales en lien avec sa demande de régularisation, c’est parce qu’il avait fait appel à un tiers pour déposer ladite demande et qu’il a été retenu qu’il ne pouvait pas s’imaginer que celui-ci déposerait de fausses preuves d’emploi. Cela n’empêche pas qu’il a lui-même reconnu que la plupart des documents produits à l’appui de sa demande ne correspondaient pas à la réalité. Il a aussi tenté de de justifier lesdites lacunes en expliquant que ses employeurs ne l'avaient pas enregistré et l’avaient payé en espèce. Ce faisant, il ne donne pas assez d’éléments probants pour pouvoir retenir qu’il réside en Suisse depuis 2007, ce d’autant qu’il a lui-même reconnu être revenu au Kosovo un certain temps aux alentours de 2010, soit suffisamment de temps pour y préparer et y passer les examens du permis de conduire. Dès lors, le recourant ne remplissait pas, au moment du dépôt de sa demande, la condition d'un séjour continu de dix ans posée dans le cadre de l’« opération Papyrus ». Le recourant ne remplit en outre pas les critères d’un cas d’extrême gravité, dont d’ailleurs l’« opération Papyrus » n’était qu’une illustration. En effet, la durée de son séjour en Suisse doit de toute façon être fortement relativisée du fait qu’elle</w:t>
      </w:r>
    </w:p>
    <w:p>
      <w:r>
        <w:t>- 12/15 - A/3728/2024 s’est intégralement déroulée dans l’illégalité, ou au bénéfice d'une tolérance des autorités depuis le dépôt de la demande. Si le recourant est, certes, indépendant financièrement, n’a pas recouru à l’aide sociale, n’a pas de dettes et s'exprime en français au moins au niveau A2, de tels éléments ne suffisent pas pour retenir l’existence d’une intégration socioprofessionnelle particulièrement réussie. Le recourant, même s’il a un réseau de connaissances, dont certaines ont fourni des attestations de soutien présentes au dossier, ne fournit aucun élément concret permettant de retenir qu’il se serait investi dans la vie associative, culturelle ou sportive à Genève. Enfin, bien qu’indépendant économiquement et ayant fondé une petite entreprise – qui suffit certes à assurer son existence à Genève, mais dont les performances économiques ne sont ni décrites ni documentées – , il a travaillé dans le bâtiment comme ouvrier, si bien qu'il ne peut se prévaloir d’une ascension professionnelle remarquable au sens de la jurisprudence. En outre, les connaissances professionnelles acquises en Suisse ne sont pas spécifiques à ce pays, au point qu’il ne pourrait les utiliser au Kosovo. Quant à sa condamnation pénale confirmée en 2023 par la CPAR, elle témoigne d’un respect lacunaire de l’ordre public suisse. Le recourant est né au Kosovo et y a passé toute son enfance, son adolescence et le tout début de sa vie d’adulte jusqu’à l’âge, au moins, de 18 ans. Il connaît les us et coutumes de son pays, la mentalité et en parle la langue. Il ne soutient pas ne plus y avoir de famille ; au contraire, il a demandé à plusieurs reprises des visas de retour au Kosovo pour raisons familiales. Ainsi, malgré la durée de son séjour en Suisse, son pays ne peut lui être devenu étranger. Âgé de 35 ans et en bonne santé, il lui sera sans doute difficile de trouver du travail dans son pays d'origine, mais il pourra faire valoir en cas de retour l’expérience et les compétences acquises en Suisse pour sa réintégration, notamment professionnelle et sociale. Sa situation sera à cet égard semblable à celle de ses compatriotes revenant au Kosovo au même âge que lui, et ne permet pas de retenir que sa réintégration serait gravement compromise au sens de la jurisprudence. Quant à l’application de l’art. 8 CEDH à son cas, force est de constater d’une part que tout son séjour s’est déroulé dans l’illégalité ou au bénéfice d’une tolérance, et d’autre part que ses liens sociaux et professionnels avec la Suisse ne peuvent être décrits comme spécialement intenses et notablement supérieurs à ceux qui résultent d'une intégration ordinaire. Au vu de ce qui précède, l’OCPM n’a pas violé la loi ni commis un abus de son pouvoir d’appréciation en refusant de préaviser favorablement auprès du SEM la demande d’autorisation de séjour présentée par le recourant.</w:t>
      </w:r>
    </w:p>
    <w:p>
      <w:r>
        <w:rPr>
          <w:b/>
        </w:rPr>
        <w:t>E. 3.10</w:t>
      </w:r>
    </w:p>
    <w:p>
      <w:r>
        <w:t>Dès lors que l’OCPM a, à juste titre, refusé l’octroi d’une autorisation de séjour au recourant, il devait prononcer son renvoi. En l’espèce, aucun motif ne permet de retenir que l’exécution du renvoi ne serait pas possible, licite ou ne pourrait raisonnablement être exigée. Le recourant se contente de prétendre qu’un retour au Kosovo serait pour lui inexigible en raison de son intégration en Suisse et de la</w:t>
      </w:r>
    </w:p>
    <w:p>
      <w:r>
        <w:t>- 13/15 - A/3728/2024 durée de son séjour, mais ces éléments – déjà examinés plus haut pour déterminer s’il remplissait les conditions d’un cas d’extrême gravité – ne correspondent pas aux exigences jurisprudentielles permettant de retenir l’inexigibilité de l’exécution d’un renvoi. Entièrement mal fondé, le recours sera rejeté.</w:t>
      </w:r>
    </w:p>
    <w:p>
      <w:r>
        <w:rPr>
          <w:b/>
        </w:rPr>
        <w:t>E. 4</w:t>
      </w:r>
    </w:p>
    <w:p>
      <w:r>
        <w:t>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