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ATA/133/2022 vom 8. Februar 2022</w:t>
      </w:r>
    </w:p>
    <w:p>
      <w:r>
        <w:t>GE Cour de justice, 2022-02-08, FR</w:t>
      </w:r>
    </w:p>
    <w:p>
      <w:r>
        <w:rPr>
          <w:b/>
        </w:rPr>
        <w:t xml:space="preserve">Quelle: </w:t>
      </w:r>
      <w:r>
        <w:t>https://mcp.opencaselaw.ch/entscheid/ge_gerichte_ATA_133_2022</w:t>
      </w:r>
    </w:p>
    <w:p>
      <w:r>
        <w:t>FR: GE_GERICHTE ATA/133/2022 du 8 février 2022</w:t>
      </w:r>
    </w:p>
    <w:p>
      <w:r>
        <w:t>IT: GE_GERICHTE ATA/133/2022 del 8 febbraio 2022</w:t>
      </w:r>
    </w:p>
    <w:p>
      <w:pPr>
        <w:pStyle w:val="Heading2"/>
      </w:pPr>
      <w:r>
        <w:t>Erwägungen</w:t>
      </w:r>
    </w:p>
    <w:p>
      <w:r>
        <w:rPr>
          <w:b/>
        </w:rPr>
        <w:t>E. 26</w:t>
      </w:r>
    </w:p>
    <w:p>
      <w:r>
        <w:t>septembre 2010 - LOJ - E 2 05 ; art. 62 al. 1 let. a de la loi sur la procédure administrative du 12 septembre 1985 - LPA - E 5 10 ; art. 60 LPol). 2) a.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(ATA/595/2020 du 16 juin 2020 consid. 2b). Une requête en annulation d’une décision doit par exemple être déclarée recevable dans la mesure où le recourant a</w:t>
      </w:r>
    </w:p>
    <w:p>
      <w:r>
        <w:t>- 4/6 - A/3280/2021 de manière suffisante manifesté son désaccord avec la décision ainsi que sa volonté qu’elle ne développe pas d’effets juridiques (ATA/398/2020 du 23 avril 2020 consid. 2b).</w:t>
      </w:r>
    </w:p>
    <w:p>
      <w:r>
        <w:t>c. En l'espèce, on comprend de la lettre adressée par le recourant au MP le 19 juillet 2021 qu'il s'oppose à la mesure d'interdiction de pénétrer dans une zone déterminée à la suite de son interpellation par la police le 16 juillet 2021. 3) 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w:t>
      </w:r>
    </w:p>
    <w:p>
      <w:r>
        <w:t>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(ATF 135 I 79 consid. 1.1 ; 131 II 361 consid. 1.2 ; 128 II 34 consid. 1b ; 127 I 164 consid. 1a).</w:t>
      </w:r>
    </w:p>
    <w:p>
      <w:r>
        <w:t>b. En l'espèce, la décision d'interdiction de pénétrer dans un périmètre donné prononcée pour une durée de trois mois a été entièrement exécutée, de sorte que sur ce point, le recours a perdu tout objet.</w:t>
      </w:r>
    </w:p>
    <w:p>
      <w:r>
        <w:t>Par ailleurs, il ne ressort pas du dossier d'éléments concrets permettant de retenir que le recourant pourrait à l'avenir se retrouver dans une situation identique. Il ne le soutient au demeurant pas ni ne l'étaye.</w:t>
      </w:r>
    </w:p>
    <w:p>
      <w:r>
        <w:t>Il n'a de plus pas fait usage de son droit à la réplique après avoir eu connaissance de la position de l'autorité intimée, qui a pourtant expressément relevé la problématique de l'absence de son intérêt agir.</w:t>
      </w:r>
    </w:p>
    <w:p>
      <w:r>
        <w:t>En conséquence, faute d'un intérêt actuel au recours, celui-ci est irrecevable. 4)</w:t>
      </w:r>
    </w:p>
    <w:p>
      <w:r>
        <w:t>Vu l'issue du litige, un émolument de CHF 500.- sera mis à la charge du recourant et aucune indemnité de procédure ne sera accordée à l'autorité intimée qui procède par son propre service juridique (art. 87 al. 1 et al. 2 LPA).</w:t>
      </w:r>
    </w:p>
    <w:p>
      <w:r>
        <w:t>- 5/6 - A/3280/2021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