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ATA/133/2013 vom 5. März 2013</w:t>
      </w:r>
    </w:p>
    <w:p>
      <w:r>
        <w:t>GE Cour de justice, 2013-03-05, FR</w:t>
      </w:r>
    </w:p>
    <w:p>
      <w:r>
        <w:rPr>
          <w:b/>
        </w:rPr>
        <w:t xml:space="preserve">Quelle: </w:t>
      </w:r>
      <w:r>
        <w:t>https://mcp.opencaselaw.ch/entscheid/ge_gerichte_ATA_133_2013</w:t>
      </w:r>
    </w:p>
    <w:p>
      <w:r>
        <w:t>FR: GE_GERICHTE ATA/133/2013 du 5 mars 2013</w:t>
      </w:r>
    </w:p>
    <w:p>
      <w:r>
        <w:t>IT: GE_GERICHTE ATA/133/2013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w:t>
      </w:r>
    </w:p>
    <w:p>
      <w:r>
        <w:t>- 4/6 - A/1245/2009 consid. 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4</w:t>
      </w:r>
    </w:p>
    <w:p>
      <w:r>
        <w:t>a. A Genève, les juges assesseurs sont des magistrats de l’ordre judiciaire au sens de l’art. 132 de la Constitution de la République et canton de Genève du 24 mai 1847 (Cst-GE - A 2 00 ; ATF 130 I 106 consid. 2.1). Ils doivent remplir les conditions d’éligibilité prévues par l’art. 5 al. 1 LOJ, sauf celles de la titularité du brevet d’avocat et des trois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30 avril 2012 et M. S______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w:t>
      </w:r>
    </w:p>
    <w:p>
      <w:r>
        <w:t>- 5/6 - A/1245/2009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En revanche, une indemnité de procédure de CHF 1'000.- sera allouée à Mme R______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