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ATA/1337/2024 vom 12. November 2024</w:t>
      </w:r>
    </w:p>
    <w:p>
      <w:r>
        <w:t>GE Cour de justice, 2024-11-12, FR</w:t>
      </w:r>
    </w:p>
    <w:p>
      <w:r>
        <w:rPr>
          <w:b/>
        </w:rPr>
        <w:t xml:space="preserve">Quelle: </w:t>
      </w:r>
      <w:r>
        <w:t>https://mcp.opencaselaw.ch/entscheid/ge_gerichte_ATA_1337_2024</w:t>
      </w:r>
    </w:p>
    <w:p>
      <w:r>
        <w:t>FR: GE_GERICHTE ATA/1337/2024 du 12 novembre 2024</w:t>
      </w:r>
    </w:p>
    <w:p>
      <w:r>
        <w:t>IT: GE_GERICHTE ATA/1337/2024 del 12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bien-fondé de la perception de la TPC 2022 et 2023 de la recourante.</w:t>
      </w:r>
    </w:p>
    <w:p>
      <w:r>
        <w:rPr>
          <w:b/>
        </w:rPr>
        <w:t>E. 2.1</w:t>
      </w:r>
    </w:p>
    <w:p>
      <w:r>
        <w:t>Les communes du canton de Genève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et art. 301 al. 1 let. c LCP). La TPC est établie sur la base de</w:t>
      </w:r>
    </w:p>
    <w:p>
      <w:r>
        <w:t>- 6/9 - A/3915/2023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w:t>
      </w:r>
    </w:p>
    <w:p>
      <w:r>
        <w:rPr>
          <w:b/>
        </w:rPr>
        <w:t>E. 2.2</w:t>
      </w:r>
    </w:p>
    <w:p>
      <w:r>
        <w:t>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12B al. 1 RDLCP, le groupe professionnel n. 14 comprend les avocats, huissiers, notaires et conseillers juridiques avec un coefficient de 6 ‰.</w:t>
      </w:r>
    </w:p>
    <w:p>
      <w:r>
        <w:rPr>
          <w:b/>
        </w:rPr>
        <w:t>E. 2.3</w:t>
      </w:r>
    </w:p>
    <w:p>
      <w:r>
        <w:t>La TPC est un véritable impôt et non une taxe ou une charge de préférence, mais elle est distincte de l’impôt sur le chiffre d’affaires (arrêt du Tribunal fédéral 2P.9/1994 du 6 juin 1995 consid. 2b, in SJ 1996 p. 100 confirmé in 2P.241/2003 du</w:t>
      </w:r>
    </w:p>
    <w:p>
      <w:r>
        <w:rPr>
          <w:b/>
        </w:rPr>
        <w:t>E. 2.4</w:t>
      </w:r>
    </w:p>
    <w:p>
      <w:r>
        <w:t>Selon la jurisprudence, il s'agit d'un impôt qui frappe l'entreprise en fonction de son importance économique (arrêts du Tribunal fédéral 2C_199/2015 du 31 mai 2016 consid. 3 ;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Dans le système de la TPC, l'importance économique de l'entreprise est mesurée à l'aune de plusieurs critères qui permettent ensemble d'affiner et de pondérer la réelle capacité contributive de celle-ci (arrêt du Tribunal fédéral 2C_32/2019 du 25 février 2019 consid. 7.2).</w:t>
      </w:r>
    </w:p>
    <w:p>
      <w:r>
        <w:rPr>
          <w:b/>
        </w:rPr>
        <w:t>E. 2.5</w:t>
      </w:r>
    </w:p>
    <w:p>
      <w:r>
        <w:t>Selon les travaux préparatoires de la novelle de 1969 (loi 3'362), la TPC est une contribution aux dépenses de la collectivité qui est exigée de toute personne qui exerce une activité lucrative indépendante ou exploite une entreprise commerciale sur le territoire de la commune, quel que soit le bénéfice réalisé, et même en</w:t>
      </w:r>
    </w:p>
    <w:p>
      <w:r>
        <w:t>- 7/9 - A/3915/2023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La volonté du législateur de prendre en compte la capacité contributive des contribuables a motivé l’adoption de l’art. 310 al. 1 LCP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"taxe professionnelle" et non plus "taxe professionnelle fixe" » (MGC 1969/I 663 ; ATA/782/2020 du 18 août 2020 consid. 7).</w:t>
      </w:r>
    </w:p>
    <w:p>
      <w:r>
        <w:rPr>
          <w:b/>
        </w:rPr>
        <w:t>E. 2.6</w:t>
      </w:r>
    </w:p>
    <w:p>
      <w:r>
        <w:t>Le Tribunal fédéral a statué dans de très nombreuses affaires genevoises concernant la TPC (pour les plus récentes : arrêts du Tribunal fédéral 2C_811/2020 du 19 janvier 2021 ; 2C_151/2020 du 25 mai 2020) sans jamais la considérer comme inconstitutionnelle ou contraire au droit supérieur. La TPC n’est, en particulier, pas prohibée par l’art. 134 Cst. (Xavier OBERSON, op. cit., § 13, n. 87- 88, p. 374).</w:t>
      </w:r>
    </w:p>
    <w:p>
      <w:r>
        <w:rPr>
          <w:b/>
        </w:rPr>
        <w:t>E. 2.7</w:t>
      </w:r>
    </w:p>
    <w:p>
      <w:r>
        <w:t>Le 11 mai 2023, le Grand Conseil a adopté à titre de contreprojet matériel à l'initiative 183 la loi 13293, qui abroge matériellement les art. 301 à 318C LCP actuels et abolit ainsi la taxe professionnelle communale. Cette loi, entrée en vigueur le 1er janvier 2024, n’est pas applicable en l’espèce, aucun effet rétroactif n’étant prévu.</w:t>
      </w:r>
    </w:p>
    <w:p>
      <w:r>
        <w:rPr>
          <w:b/>
        </w:rPr>
        <w:t>E. 2.8</w:t>
      </w:r>
    </w:p>
    <w:p>
      <w:r>
        <w:t>En l'espèce, il découle de ce qui précède que la TPC n’est pas contraire à la Cst. ni au droit supérieur. Contrairement à ce que soutient la recourante, la TPC, cumulée à l’ICC et l’IFD 2020 et 2021 de celle-ci, ne dépasse pas sa capacité contributive. En effet, les périodes fiscales de l’ICC et de l’IFD et de la TPC qu’elle compare ne sont pas les mêmes : l’ICC et l’IFD allégués par la recourante relatifs au bénéfice et au capital correspondent aux années fiscales 2020 et 2021. La TPC se fonde toutefois sur le chiffre des affaires 2020 et 2021 pour déterminer le montant dû par la société en 2022 et 2023. En outre, la comparaison avec l’impôt sur le bénéfice n’est pas pertinente, puisque la TPC ne se fonde pas sur ce paramètre. Enfin et comme le relève la commune sans être contestée, le chiffre des affaires cumulé de la</w:t>
      </w:r>
    </w:p>
    <w:p>
      <w:r>
        <w:t>- 8/9 - A/3915/2023 recourante pour ces deux années était de CHF 8'906’062.-. La charge fiscale totale alléguée par la recourante de CHF 51'440.- représente ainsi moins de 1% de son chiffre des affaires, de sorte qu’elle ne saurait être qualifiée de confiscatoire. La commune, en percevant le taux de 6‰, en application de l’art. 12A al. 1 RDLCP, s’est conformée à son obligation de traiter de manière égale les situations égales. Elle ne pouvait, sauf à violer le principe d’égalité de traitement, percevoir moins que ce que la réglementation prévoyait. Vu ce qui précède, la décision du service de la TPC ne viole pas la loi ni les principes d’égalité de traitement et de la capacité contributive. C’est à juste titre que l’intimée a incorporé la recourante dans le groupe professionnel 14 (avocats et conseillers juridiques) – catégorie que l’intéressée ne conteste au demeurant plus – en la taxant à un taux de 6‰. Mal fondé, le recours sera rejeté.</w:t>
      </w:r>
    </w:p>
    <w:p>
      <w:r>
        <w:rPr>
          <w:b/>
        </w:rPr>
        <w:t>E. 3</w:t>
      </w:r>
    </w:p>
    <w:p>
      <w:r>
        <w:t>Vu l’issue du litige, l’émolument de CHF 700.-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