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ATA/1335/2020 vom 22. Dezember 2020</w:t>
      </w:r>
    </w:p>
    <w:p>
      <w:r>
        <w:t>GE Cour de justice, 2020-12-22, FR</w:t>
      </w:r>
    </w:p>
    <w:p>
      <w:r>
        <w:rPr>
          <w:b/>
        </w:rPr>
        <w:t xml:space="preserve">Quelle: </w:t>
      </w:r>
      <w:r>
        <w:t>https://mcp.opencaselaw.ch/entscheid/ge_gerichte_ATA_1335_2020</w:t>
      </w:r>
    </w:p>
    <w:p>
      <w:r>
        <w:t>FR: GE_GERICHTE ATA/1335/2020 du 22 décembre 2020</w:t>
      </w:r>
    </w:p>
    <w:p>
      <w:r>
        <w:t>IT: GE_GERICHTE ATA/1335/2020 del 22 dicembre 2020</w:t>
      </w:r>
    </w:p>
    <w:p>
      <w:pPr>
        <w:pStyle w:val="Heading2"/>
      </w:pPr>
      <w:r>
        <w:t>Erwägungen</w:t>
      </w:r>
    </w:p>
    <w:p>
      <w:r>
        <w:rPr>
          <w:b/>
        </w:rPr>
        <w:t>E. 26</w:t>
      </w:r>
    </w:p>
    <w:p>
      <w:r>
        <w:t>septembre 2010 - LOJ - E 2 05 ; art. 62 al. 1 let. a de la loi sur la procédure administrative du 12 septembre 1985 - LPA - E 5 10).</w:t>
      </w:r>
    </w:p>
    <w:p>
      <w:r>
        <w:t>- 9/19 - A/70/2019 2)</w:t>
      </w:r>
    </w:p>
    <w:p>
      <w:r>
        <w:t>Les intimés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intimés de répondre aux griefs soulevés, ces derniers ayant d'ailleurs développé leur réponse sur une quinzaine de pages.</w:t>
      </w:r>
    </w:p>
    <w:p>
      <w:r>
        <w:t>Le recours est pas conséquent suffisamment motivé et sera déclaré recevable. 3)</w:t>
      </w:r>
    </w:p>
    <w:p>
      <w:r>
        <w:t>Le litige porte sur la conformité au droit du jugement du TAPI annulant l'arrêté de l'autorité recourante et ordonnant à cette dernière de délivrer l'autorisation sollicitée, soit d'autoriser M. A______ à céder à B______ le</w:t>
      </w:r>
    </w:p>
    <w:p>
      <w:r>
        <w:t>- 10/19 - A/70/2019 certificat d'actions no 31 de G______, conférant le droit de louer l'appartement no 3______. 4)</w:t>
      </w:r>
    </w:p>
    <w:p>
      <w:r>
        <w:t>Les intimés demandent la production des cinquante dernières décisions octroyant des autorisations d'aliéner un appartement.</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intimés. 5)</w:t>
      </w:r>
    </w:p>
    <w:p>
      <w:r>
        <w:t>L'autorité recourante affirme que l'autorisation d'aliéner ne devrait pas être délivrée.</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- 11/19 - A/70/2019</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- 12/19 - A/70/2019</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w:t>
      </w:r>
    </w:p>
    <w:p>
      <w:r>
        <w:t>- 13/19 - A/70/2019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w:t>
      </w:r>
    </w:p>
    <w:p>
      <w:r>
        <w:rPr>
          <w:b/>
        </w:rPr>
        <w:t>E. 31</w:t>
      </w:r>
    </w:p>
    <w:p>
      <w:r>
        <w:t>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no 31, emportant le droit de louer l'appartement no 3______, à la cessionnaire et ceux de cette dernière à l'acquérir ainsi que, d'autre part, l'intérêt public à la protection du parc locatif genevois.</w:t>
      </w:r>
    </w:p>
    <w:p>
      <w:r>
        <w:t>Le TAPI a retenu que les intérêts invoqués par les intimés n'étaient pas « spécialement importants »,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w:t>
      </w:r>
    </w:p>
    <w:p>
      <w:r>
        <w:t>- 14/19 - A/70/2019 parachevait pas le processus d'individualisation de l'appartement en question – n'impliquant en réalité aucun changement de la situation.</w:t>
      </w:r>
    </w:p>
    <w:p>
      <w:r>
        <w:t>b. M. A______ a fait valoir, à l'appui de sa requête en autorisation d'aliéner, sa volonté de ne pas rester dans la SIAL suite à l'arrêt du Tribunal fédéral 1C_124/2017 précité et son besoin de liquidités.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 A______ n'était pas partie à la procédure qui a donné lieu à l'arrêt du Tribunal fédéral 1C_124/2017 précité, de sorte que la constatation de fraude à la loi intervenue dans cette procédure ne lui est pas directement opposable.</w:t>
      </w:r>
    </w:p>
    <w:p>
      <w:r>
        <w:t>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le cédant n'était pas en marge du système mis en place mais y a participé dès la conclusion de la première cession. M. A______ a d'ailleurs lui-même confirmé cette appréciation en expliquant devant le TAPI qu'il avait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G______ a été transformée en SIAL postérieurement à l'achat des actions. Dans ce contexte, l'intérêt de M. A______ à sortir d'un système dans lequel il est sciemment entré, et mis en place afin de contourner la loi, ne peut en tant que tel être protégé.</w:t>
      </w:r>
    </w:p>
    <w:p>
      <w:r>
        <w:t>Quant au prétendu besoin de liquidités, non seulement une partie du prix de vente est destinée à être perçue par remboursement du prêt contracté lors de la première cession et donc sans dégagement de liquidités, mais surtout M. A______ n'a apporté aucune substance à son allégation. Il n'a ainsi pas démontré l'état de sa situation financière ni expliqué pourquoi il aurait besoin de ces liquidités.</w:t>
      </w:r>
    </w:p>
    <w:p>
      <w:r>
        <w:t>- 15/19 - A/70/2019</w:t>
      </w:r>
    </w:p>
    <w:p>
      <w:r>
        <w:t>Finalement, M. A______ a indiqué lors de l'audience devant le TAPI souhaiter vendre ses actions car il n'avait pas les moyens d'acheter l'appartement. Néanmoins, outre que le fait cette absence de moyens n'est pas démontrée, comme examiné précédemment, la question de l'achat de la part de PPE correspondant à l'appartement no 3______ ne se pose pas, une telle aliénation ne pouvant être envisagée, vu l'arrêt du Tribunal fédéral 1C_124/2017 précité.</w:t>
      </w:r>
    </w:p>
    <w:p>
      <w:r>
        <w:t>Au vu de ce qui précède, les intérêts évoqués n'ont pas de substance et le cédant n'a pas établi d'autres intérêts que sa pure convenance personnelle pour justifier sa volonté d'aliéner l'appartement.</w:t>
      </w:r>
    </w:p>
    <w:p>
      <w:r>
        <w:t>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w:t>
      </w:r>
    </w:p>
    <w:p>
      <w:r>
        <w:t>c. En ce qui concerne les intérêts privés de la cessionnaire, les intimés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passée de G______ (recte : M. D______) à M. A______, puisque G______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w:t>
      </w:r>
    </w:p>
    <w:p>
      <w:r>
        <w:t>- 16/19 - A/70/2019 cette individualisation si elle était validée par autorisation d'aliéner. En dépit de son caractère subsidiaire, il n'en demeure donc pas moins qu'il s'agit d'une étape finale de la fraude à la loi mise sur pied dès l'origine et constatée par le Tribunal fédéral.</w:t>
      </w:r>
    </w:p>
    <w:p>
      <w:r>
        <w:t>Comme le souligne l'autorité recourante, le caractère insolite de l'ensemble des opérations est d'autant plus confirmé dans le cas d'espèce par le jeu du prêt contracté par M. A______, ajouté à l'omniprésence de M. D______. En effet, M. A______ a contracté un prêt auprès de M. D______ pour acheter à M. D______ des actions d'une première société dont M. D______ est administrateur président, G______, et qui a son siège auprès d'une deuxième société, la régie C______, dont M. D______ est également administrateur président. Depuis que M. A______ est actionnaire, il ne se souvient pas avoir reçu des loyers et M. D______ continue à assurer toute la gestion, selon ses déclarations devant le TAPI. À cet égard, il sera relevé que son statut d'actionnaire de la SIAL confère à M. A______ le droit de louer l'appartement no 3______ mais non l'obligation de le faire et qu'il n'est pas établi que le bail avec les locataires en place depuis de nombreuses années aurait été transféré de G______ à M. A______, de sorte que ce dernier serait effectivement devenu locataire et les locataires sous-locataires. En tout état, le prêt contracté auprès de M. D______ lors de la première cession – mais désigné comme contracté auprès de la régie C______ dans l'acte de cession de 2018 –, ou plutôt la créance née du contrat de prêt, a ensuite été cédée à une troisième société dont M. D______ est aussi administrateur président, B______, et qui a également son siège auprès de la régie C______. Cette troisième société est alors devenue économiquement propriétaire du certificat d'actions de la première société, G______, entretemps transformée en SIAL.</w:t>
      </w:r>
    </w:p>
    <w:p>
      <w:r>
        <w:t>M. A______ souhaite à présent lui transférer également la propriété juridique du certificat d'actions, en prévoyant qu'une partie du prix de vente serait réglé par remboursement du prêt, les deux parties se faisant de plus représenter, dans le cadre du litige sur l'autorisation d'aliéner, par la régie C______. À cet égard, il sera relevé que la requête en autorisation d'aliéner indique expressément qu'il s'agit en réalité d'une ré-acquisition par M. D______, par l'intermédiaire de l'une de ses sociétés. Finalement, l'acte de cession de 2018 prévoit qu'en cas de refus de l'autorisation d'aliéner, le cédant acceptera que son certificat antérieurement remis en pleine propriété, en garantie pour le prêt, soit saisi par B______. Cette dernière étape, prévue dans la version longue de l'acte de cession de 2018, ne fait pas l'objet de la décision litigieuse, de sorte que la situation par rapport à ladite étape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à B______ (« saisie ») en nantissement du</w:t>
      </w:r>
    </w:p>
    <w:p>
      <w:r>
        <w:t>- 17/19 - A/70/2019 certificat d'actions en garantie du prêt, ce qui permettrait à B______, déjà devenue économiquement propriétaire du certificat d'actions lors de la cession de la créance née du prêt mais empêchée d'en devenir juridiquement propriétaire du fait du refus d'autorisation d'aliéner, d'exercer, le cas échéant, son droit de gage.</w:t>
      </w:r>
    </w:p>
    <w:p>
      <w:r>
        <w:t>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w:t>
      </w:r>
    </w:p>
    <w:p>
      <w:r>
        <w:t>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D______, cédant en 2013, et non à G______, de sorte que la situation financière de cette dernière n'est pas pertinente. L’absence de moyens financiers de G______, telle qu’alléguée par les recourants, tendrait tout au plus à confirmer qu'elle n'aurait pas fonctionné comme une véritable propriétaire depuis la répartition du capital-actions entre les différents acquéreuses et acquéreurs en 2013. À cet égard, il sera relevé que la prise en charge de travaux par le cédant, telle qu’alléguée pour justifier de l'absence de caractère spéculatif du prix de vente, suggère par exemple que G______ n’aurait pas constitué de réserves pour les travaux, alors que la prise en charge de travaux lui incombait, en tant que propriétaire, contrairement aux actionnaires de la SIAL, qui ne doivent les assumer ni en tant que tels ni en tant qu'éventuels locataires. Ces éléments ne</w:t>
      </w:r>
    </w:p>
    <w:p>
      <w:r>
        <w:t>- 18/19 - A/70/2019 constituent en définitive que des indices supplémentaires du caractère fictif du montage mis en place.</w:t>
      </w:r>
    </w:p>
    <w:p>
      <w:r>
        <w:t>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D______ a lui-même financé la cession initiale de 2013.</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w:t>
      </w:r>
    </w:p>
    <w:p>
      <w:r>
        <w:t>Dans ces circonstances, le jugement du TAPI sera annulé et l'arrêté sera rétabli. 12) Vu l'issue du litige, un émolument de CHF 2'000.- sera mis à la charge solidaire des intimés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