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ATA/1333/2023 vom 12. Dezember 2023</w:t>
      </w:r>
    </w:p>
    <w:p>
      <w:r>
        <w:t>GE Cour de justice, 2023-12-12, FR</w:t>
      </w:r>
    </w:p>
    <w:p>
      <w:r>
        <w:rPr>
          <w:b/>
        </w:rPr>
        <w:t xml:space="preserve">Quelle: </w:t>
      </w:r>
      <w:r>
        <w:t>https://mcp.opencaselaw.ch/entscheid/ge_gerichte_ATA_1333_2023</w:t>
      </w:r>
    </w:p>
    <w:p>
      <w:r>
        <w:t>FR: GE_GERICHTE ATA/1333/2023 du 12 décembre 2023</w:t>
      </w:r>
    </w:p>
    <w:p>
      <w:r>
        <w:t>IT: GE_GERICHTE ATA/1333/2023 del 12 dicembre 2023</w:t>
      </w:r>
    </w:p>
    <w:p>
      <w:pPr>
        <w:pStyle w:val="Heading2"/>
      </w:pPr>
      <w:r>
        <w:t>Erwägungen</w:t>
      </w:r>
    </w:p>
    <w:p>
      <w:r>
        <w:rPr>
          <w:b/>
        </w:rPr>
        <w:t>E. 11</w:t>
      </w:r>
    </w:p>
    <w:p>
      <w:r>
        <w:t>Les intimés soutiennent que l'ordre d'établir une formule officielle et de rembourser aux anciens locataires le trop-perçu du loyer violerait le principe de la légalité. La conséquence du blocage rétroactif du loyer visant à rembourser le trop-perçu constituerait une condamnation de nature civile non prévue par la LDTR ni par la LCI. La chambre administrative aurait interprété de façon très extensive l'art. 129 let. e LCI, en ce sens que la remise en état couvrirait aussi l'obligation de rembourser les loyers trop perçus.</w:t>
      </w:r>
    </w:p>
    <w:p>
      <w:r>
        <w:rPr>
          <w:b/>
        </w:rPr>
        <w:t>E. 11.1</w:t>
      </w:r>
    </w:p>
    <w:p>
      <w:r>
        <w:t>Celui qui contrevient aux dispositions de LDTR est passible des mesures et des sanctions administratives prévues par les art. 129 à 139 LCI et des peines plus élevées prévues par le code pénal suisse, du 21 décembre 1937 (art. 44 al. 1 LDTR). Parmi les mesures administratives à disposition de l’autorité compétente figure l’ordre de remise en conformité (art. 129 let. e LCI). L’objectif d’une telle mesure est de rétablir une situation conforme au droit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w:t>
      </w:r>
    </w:p>
    <w:p>
      <w:r>
        <w:t>- 29/36 - A/4261/2022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11.2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 Le blocage du loyer peut porter rétroactivement sur la période entre la fin des travaux exécutés illicitement et, en soi, l'entrée en force de l'autorisation de construire obtenue après coup, avec obligation de rembourser le trop-perçu au locataire (ATA/185/2021 précité consid. 5g et la référence citée).</w:t>
      </w:r>
    </w:p>
    <w:p>
      <w:r>
        <w:rPr>
          <w:b/>
        </w:rPr>
        <w:t>E. 11.3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(ATA/185/2021 précité consid. 5g et les références citées).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(ATA/185/2021 précité consid. 5g ; ATA/1343/2020 du 22 décembre 2020 consid. 3f et 4).</w:t>
      </w:r>
    </w:p>
    <w:p>
      <w:r>
        <w:rPr>
          <w:b/>
        </w:rPr>
        <w:t>E. 11.4</w:t>
      </w:r>
    </w:p>
    <w:p>
      <w:r>
        <w:t>En l'occurrence, il est établi que les travaux litigieux étaient soumis à autorisation et que le loyer aurait dû être bloqué en conséquence pendant une période de trois ans après leur exécution.</w:t>
      </w:r>
    </w:p>
    <w:p>
      <w:r>
        <w:t>- 30/36 - A/4261/2022 L'ordre adressé aux intimés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w:t>
      </w:r>
    </w:p>
    <w:p>
      <w:r>
        <w:rPr>
          <w:b/>
        </w:rPr>
        <w:t>E. 12</w:t>
      </w:r>
    </w:p>
    <w:p>
      <w:r>
        <w:t>Les intimés contestent le bien-fondé de l'amende qui leur a été infligée. Ils n’avaient commis aucune faute, dans la mesure où ils ne pouvaient raisonnablement penser, en 2016, que l'autorité intimée appliquerait un blocage rétroactif des loyers. Le montant de l'amende était, dans tous les cas, excessif, et le département n'avait pas expliqué comment il l'aurait calculé. Ils bénéficieraient de nombreuses circonstances atténuantes, notamment une absence de volonté de ne pas respecter la LDTR, une absence de cupidité et d'antécédents. Enfin, le montant de l'amende était bien supérieur à celui des amendes infligées pour des cas similaires.</w:t>
      </w:r>
    </w:p>
    <w:p>
      <w:r>
        <w:rPr>
          <w:b/>
        </w:rPr>
        <w:t>E. 12.1</w:t>
      </w:r>
    </w:p>
    <w:p>
      <w:r>
        <w:t>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w:t>
      </w:r>
    </w:p>
    <w:p>
      <w:r>
        <w:rPr>
          <w:b/>
        </w:rPr>
        <w:t>E. 12.2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 En vertu de l’art. 1 let. a de la loi pénale genevoise du 17 novembre 2006 (LPG – E 4 05), les dispositions de la partie générale du Code pénal suisse du 21 décembre 1937 (CP - RS 311.0) s’appliquent à titre de droit cantonal supplétif. On</w:t>
      </w:r>
    </w:p>
    <w:p>
      <w:r>
        <w:t>- 31/36 - A/4261/2022 doit cependant réserver celles qui concernent exclusivement le juge pénal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12.3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2e éd., n. 18 ad art. 13).</w:t>
      </w:r>
    </w:p>
    <w:p>
      <w:r>
        <w:rPr>
          <w:b/>
        </w:rPr>
        <w:t>E. 12.4</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w:t>
      </w:r>
    </w:p>
    <w:p>
      <w:r>
        <w:t>- 32/36 - A/4261/2022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w:t>
      </w:r>
    </w:p>
    <w:p>
      <w:r>
        <w:rPr>
          <w:b/>
        </w:rPr>
        <w:t>E. 12.5</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w:t>
      </w:r>
    </w:p>
    <w:p>
      <w:r>
        <w:rPr>
          <w:b/>
        </w:rPr>
        <w:t>E. 12.6</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w:t>
      </w:r>
    </w:p>
    <w:p>
      <w:r>
        <w:rPr>
          <w:b/>
        </w:rPr>
        <w:t>E. 12.7</w:t>
      </w:r>
    </w:p>
    <w:p>
      <w:r>
        <w:t>En l'espèce, les intimés ont exécuté les travaux en cause sans être au bénéfice d'une autorisation, alors que ceux-ci étaient assujettis à la LCI et à la LDTR. Un tel comportement, contraire aux art. 1 al. 1 let. b LCI et 9 LDTR, constitue une</w:t>
      </w:r>
    </w:p>
    <w:p>
      <w:r>
        <w:t>- 33/36 - A/4261/2022 infraction réprimée par les art. 137 al. 1 let. a LCI et 44 al. 1 LDTR et peut donc donner lieu au prononcé d'une amende. Les intimés ne sauraient raisonnablement se prévaloir du fait qu'ils pouvaient, sans demander une autorisation, exécuter les travaux en cause, dans la mesure où, selon leur propre appréciation, il s'agissait de simples travaux d'entretien non soumis à la LDTR. La régie qui les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l'ATA/774/1999 du 21 décembre 1999 à tous le moins. Dès lors, elle aurait dû prendre renseignement auprès du département, ce d'autant plus que la nature des travaux, leur ampleur et leurs coûts, pour la plupart probablement devisés, ne permettaient de toute évidence pas de retenir qu'il se serait agi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les intimés ont, à tout le moins, agi par négligence et ont ainsi commis une faute. On ne saurait retenir qu'ils ont agi en fonction d'une appréciation erronée des faits. Une erreur sur l'illicéité est tout autant exclue. L’amende, qui inclut l'infraction à la LCI et à la LDTR, est en conséquence fondée dans son principe.</w:t>
      </w:r>
    </w:p>
    <w:p>
      <w:r>
        <w:rPr>
          <w:b/>
        </w:rPr>
        <w:t>E. 12.8</w:t>
      </w:r>
    </w:p>
    <w:p>
      <w:r>
        <w:t>En ce qui concerne son montant, l’autorité l’a arrêté à CHF 3'000.-. Il faut concéder que la décision de l'autorité ne mentionne pas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les intimés ont perçu des loyers contraires à la LDTR, la différence entre le montant du loyer pratiqué et celui autorisé, de l’ordre de 53 %, correspondant par ailleurs, pour la période de contrôle, à plusieurs dizaines de milliers de francs, le fait qu'ils étaient assistés d'une régie, versée dans l'immobilier, et qu’ils ont mis l'autorité devant le fait accompli. À cela doit s'ajouter le fait que pendant douze années au moins, de 2004 à 2016, seuls des travaux d'entretien pour un montant de CHF 3’107.- ont été exécutés, ce qui est insuffisant. Les intimés ont ainsi commis une infraction objectivement grave.</w:t>
      </w:r>
    </w:p>
    <w:p>
      <w:r>
        <w:t>- 34/36 - A/4261/2022 Aux circonstances aggravantes précitées s'opposent les circonstances atténuantes dont ils se prévalent , en particulier le fait que la violation de la LDTR n'a porté que sur un appartement, qu'ils ont déposé une demande d'autorisation pour régulariser la situation, qu'ils ont pleinement collaboré après l'ouverture de la procédure administrative et répondu à pleine satisfaction et dans les meilleurs délais aux demandes du département et que les travaux se sont révélés conformes aux prescriptions légales. En revanche, contrairement à ce qu'ils prétendent,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Contrairement à ce que soutiennent les intimés, des amendes bien plus élevées que CHF 1'000.- ont été prononcées. Ainsi, le Tribunal fédéral a confirmé une amende de CHF 10'000.- par arrêt du 3 février 2023 (1C_447/2022) contre un propriétaire ayant rénové sans autorisation un appartement de son immeuble, une amende de CHF 100'000.- le 7 mars 2023 (1C_264/2022) contre un propriétaire ayant rénové plusieurs appartements sans APA retenant la cupidité et la récidive, et pour lesquels il a dû rembourser CHF 212'501.- aux locataires, et une amende de CHF 15'000.- le 21 avril 2023 (1C_468/2022) contre l’architecte d’un propriétaire pour les travaux effectués sans autorisation retenant comme critères notamment sa qualité de professionnel du domaine et de récidiviste. Le montant de CHF 3'000.- apparaît ainsi modeste et respecte en conséquence le principe de la proportionnalité. Au vu de tout ce qui précède, le département n'a pas abusé de son large pouvoir d'appréciation en fixant l'amende à CHF 3'000.-, soit à 15% du maximum prévu de CHF 20'000.- (art. 137 al. 2 LCI), les intimés n'exposant au demeurant pas rencontrer de difficultés financières. En conséquence, le recours du département sera admis, le jugement du TAPI annulé et les décisions du département rétablies.</w:t>
      </w:r>
    </w:p>
    <w:p>
      <w:r>
        <w:rPr>
          <w:b/>
        </w:rPr>
        <w:t>E. 13</w:t>
      </w:r>
    </w:p>
    <w:p>
      <w:r>
        <w:t>Vu l’issue du litige, un émolument de CHF 2'000.- sera mis à la charge solidaire des intimés, qui succombent (art. 87 al. 1 LPA). Il ne sera pas alloué d’indemnité de procédure (art. 87 al. 2 LPA).</w:t>
      </w:r>
    </w:p>
    <w:p>
      <w:r>
        <w:t>* * * * *</w:t>
      </w:r>
    </w:p>
    <w:p>
      <w:r>
        <w:t>- 35/36 - A/4261/2022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