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ATA/1333/2019 vom 3. September 2019</w:t>
      </w:r>
    </w:p>
    <w:p>
      <w:r>
        <w:t>GE Cour de justice, 2019-09-03, FR</w:t>
      </w:r>
    </w:p>
    <w:p>
      <w:r>
        <w:rPr>
          <w:b/>
        </w:rPr>
        <w:t xml:space="preserve">Quelle: </w:t>
      </w:r>
      <w:r>
        <w:t>https://mcp.opencaselaw.ch/entscheid/ge_gerichte_ATA_1333_2019</w:t>
      </w:r>
    </w:p>
    <w:p>
      <w:r>
        <w:t>FR: GE_GERICHTE ATA/1333/2019 du 3 septembre 2019</w:t>
      </w:r>
    </w:p>
    <w:p>
      <w:r>
        <w:t>IT: GE_GERICHTE ATA/1333/2019 del 3 settembre 2019</w:t>
      </w:r>
    </w:p>
    <w:p>
      <w:pPr>
        <w:pStyle w:val="Heading2"/>
      </w:pPr>
      <w:r>
        <w:t>Erwägungen</w:t>
      </w:r>
    </w:p>
    <w:p>
      <w:r>
        <w:rPr>
          <w:b/>
        </w:rPr>
        <w:t>E. 12</w:t>
      </w:r>
    </w:p>
    <w:p>
      <w:r>
        <w:t>septembre 1985 - LPA - E 5 10). 2)</w:t>
      </w:r>
    </w:p>
    <w:p>
      <w:r>
        <w:t>Selon l’art. 10 al. 2 1ère phr. LaLEtr, la chambre administrative doit statuer dans les dix jours qui suivent sa saisine. Ayant reçu le recours le 28 août 2019 et statuant ce jour, elle respecte ce délai.</w:t>
      </w:r>
    </w:p>
    <w:p>
      <w:r>
        <w:t>En outre,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 3)</w:t>
      </w:r>
    </w:p>
    <w:p>
      <w:r>
        <w:t>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w:t>
      </w:r>
    </w:p>
    <w:p>
      <w:r>
        <w:t>- 9/14 - A/2889/2019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4) a. Aux termes de l’art. 76 al. 1 let. b LEI, après notification d’une décision de première instance de renvoi ou d’expulsion au sens de la LEI ou une décision de première instance d’expulsion au sens notamment des art. 66a ou 66abis du Code pénal suisse du 21 décembre 1937 (CP - RS 311.0), l’autorité compétente peut, afin d’en assurer l’exécution, mettre en détention la personne concernée, en particulier si des éléments concrets font craindre que celle-ci entende se soustraire à son renvoi ou à son expulsion, en particulier parce qu’elle ne se soumet pas à son obligation de collaborer en vertu de l’art. 90 LEI ou de l’art. 8 al. 1 let. a ou al. 4 LAsi (ch. 3), ou si son comportement permet de conclure qu’elle se refuse à obtempérer aux instructions des autorités (ch. 4).</w:t>
      </w:r>
    </w:p>
    <w:p>
      <w:r>
        <w:t>Ces chiffres 3 et 4 décrivent tous deux les comportements permettant de conclure à l’existence d’un risque de fuite ou de disparition ; ils doivent donc être envisagés ensemble (arrêt du Tribunal fédéral 2C_128/2009 du 30 mars 2009 consid. 3.1).</w:t>
      </w:r>
    </w:p>
    <w:p>
      <w:r>
        <w:t>b. En vertu de l’art. 76 al. 1 let. b ch. 1 LEI en lien avec l’art. 75 al. 1 LEI, après notification d’une décision de première instance de renvoi ou d’expulsion au sens de la LEI ou une décision de première instance d’expulsion au sens notamment des art. 66a ou 66abis CP, l’autorité compétente peut, afin d’en assurer l’exécution, mettre en détention la personne concernée notamment si elle menace sérieusement d’autres personnes ou met gravement en danger leur vie ou leur intégrité corporelle et fait l’objet d’une poursuite pénale ou a été condamnée pour ce motif (art. 75 al. 1 let. g LEI) ou a été condamnée pour crime (art. 75 al. 1 let. h LEI).</w:t>
      </w:r>
    </w:p>
    <w:p>
      <w:r>
        <w:t>Par crime au sens de l’art. 75 al. 1 let. h LEI, il faut entendre une infraction passible d’une peine privative de liberté de plus de trois ans (art. 10 al. 2 CP ; ATA/220/2018 du 8 mars 2018 consid. 4a ; ATA/997/2016 du 23 novembre 2016 consid. 4a), ce qui est le cas du brigandage (art. 140 CP).</w:t>
      </w:r>
    </w:p>
    <w:p>
      <w:r>
        <w:t>c. En l'espèce, le recourant ne conteste pas la réalisation des conditions d'une mise en détention administrative, si ce n'est qu'il tente de relativiser – en les présentant comme anciennes – ses condamnations pour crime.</w:t>
      </w:r>
    </w:p>
    <w:p>
      <w:r>
        <w:t>Force est de constater qu'il fait l'objet d'une décision de renvoi définitive et exécutoire. Il a été condamné pour crime et a démontré par son comportement qu’il entendait se soustraire à son renvoi (art. 75 al. 1 let. h et 76 al. 1 let. b ch. 1, ch. 3 et ch. 4 LEI).</w:t>
      </w:r>
    </w:p>
    <w:p>
      <w:r>
        <w:t>- 10/14 - A/2889/2019 5)</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(al. 2 let. a) ; l’obtention des documents nécessaires au départ auprès d’un État qui ne fait pas partie des États Schengen prend du retard (al. 2 let. b).</w:t>
      </w:r>
    </w:p>
    <w:p>
      <w:r>
        <w:t>Conformément à l’art. 76 al. 4 LEI, les démarches nécessaires à l’exécution du renvoi ou de l’expulsion doivent être entreprises sans tarder.</w:t>
      </w:r>
    </w:p>
    <w:p>
      <w:r>
        <w:t>La durée de la détention doit être proportionnée par rapport aux circonstances d’espèce (arrêts du Tribunal fédéral 2C_18/2016 du 2 février 2016 consid. 4.2 ; 2C_218/2013 du 26 mars 2013 consid. 2.3).</w:t>
      </w:r>
    </w:p>
    <w:p>
      <w:r>
        <w:t>Le principe de la proportionnalité interdit non seulement que la mesure administrative en cause soit plus incisive que ce qui est nécessaire, mais aussi qu’elle soit insuffisante pour atteindre son but (arrêts du Tribunal fédéral 2C_497/2017 du 5 mars 2018 consid. 4.2.2 ; 2C_431/2017 du 5 mars 2018 consid. 4.3.3).</w:t>
      </w:r>
    </w:p>
    <w:p>
      <w:r>
        <w:t>À teneur de l’art. 80 al. 6 let. a LEI,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LEI, a fortiori).</w:t>
      </w:r>
    </w:p>
    <w:p>
      <w:r>
        <w:t>Selon l’art. 80 al. 4 LEI, l’autorité judiciaire qui examine la décision de détention administrative, de maintien ou de levée de celle-ci, tient compte de la situation de la personne détenue et des conditions d’exécution de la détention. Celle-là doit en particulier être levée lorsque son motif n’existe plus ou si, selon</w:t>
      </w:r>
    </w:p>
    <w:p>
      <w:r>
        <w:t>- 11/14 - A/2889/2019 l’art. 80 al. 6 LEI précité, l’exécution du renvoi ou de l’expulsion s’avère impossible pour des raisons juridiques ou matérielles, ou qu’elle ne peut être raisonnablement exigée, cette dernière disposition légale renvoyant à l’art. 83 al. 1 à 4 LEI.</w:t>
      </w:r>
    </w:p>
    <w:p>
      <w:r>
        <w:t>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t>S'agissant des problèmes médicaux, selon la jurisprudence de la Cour européenne des droits de l'homme (ci-après : CourEDH), le retour forcé des personnes touchées dans leur santé est susceptible de constituer une violation de l'art. 3 CEDH si l'intéressé se trouve à un stade de sa maladie avancé et terminal, au point que sa mort apparaît comme une perspective proche (ACEDH N. contre Royaume-Uni du 27 mai 2008, req. 26565/05, confirmé par les arrêts Yoh-Ekale Mwanje c. Belgique du 20 décembre 2011, req. 10486/10 ; S.H.H. c. Royaume- Uni du 29 janvier 2013, req. 60367/10 ; Josef c. Belgique du 27 février 2014, req. 70055/10 ; A.S. c. Suisse du 30 juin 2015, req. 39350/13, § 31 à 33).</w:t>
      </w:r>
    </w:p>
    <w:p>
      <w:r>
        <w:t>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(ACEDH Paposhvili c. Belgique du 13 décembre 2016, req. 41738/10, § 183 ; arrêt du Tribunal administratif fédéral E-6441/2018 du 4 janvier 2019 consid. 3.5.2. et 3.5.3). 6)</w:t>
      </w:r>
    </w:p>
    <w:p>
      <w:r>
        <w:t>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 7) a. Le recourant se plaint en premier lieu d'une violation du principe de la proportionnalité. Plusieurs de ses arguments – telle la durée de son séjour en Suisse, la présence de sa famille et notamment de son fils en Suisse, l'absence de lien avec son pays d'origine, ou encore sa méconnaissance alléguée du créole</w:t>
      </w:r>
    </w:p>
    <w:p>
      <w:r>
        <w:t>- 12/14 - A/2889/2019 haïtien – ne sont pas recevables à ce stade, dès lors qu'ils ressortissent à la légalité du renvoi. Or celle-ci a été examinée par trois instances judiciaires, en particulier par le Tribunal fédéral qui, en 2018, a admis la légalité dudit renvoi. En l'absence d'élément nouveau qui ferait apparaître la décision de renvoi comme inadmissible, la chambre de céans ne saurait remettre en cause la licéité du renvoi qu'elle a, du reste, confirmée par arrêt du 8 mai 2018.</w:t>
      </w:r>
    </w:p>
    <w:p>
      <w:r>
        <w:t>b. Le seul argument réellement en lien avec la proportionnalité de la détention administrative réside dans l'allégation du recourant selon laquelle sa sœur serait prête à l'accueillir. Cet argument tombe toutefois à faux dès lors qu'au vu de son comportement et de sa détermination affichée à ne pas vouloir être renvoyé en Haïti, une mesure de substitution de ce type ne serait pas apte à garantir sa présence au jour et à l'heure prévus pour l'exécution de son renvoi.</w:t>
      </w:r>
    </w:p>
    <w:p>
      <w:r>
        <w:t>Le grief doit ainsi être écarté. 8)</w:t>
      </w:r>
    </w:p>
    <w:p>
      <w:r>
        <w:t>Le recourant invoque également que l'exécution de son renvoi serait impossible.</w:t>
      </w:r>
    </w:p>
    <w:p>
      <w:r>
        <w:t>a. L'argument lié à la crise socio-économique qui sévit en Haïti ressortit lui aussi à la procédure de renvoi. Quand bien même le département fédéral des affaires étrangères (ci-après : DFAE) indique que ladite crise a encore empiré depuis le début de l'année, la chambre de céans ne peut retenir que la situation du pays a fondamentalement changé depuis le mois de septembre 2018, lors duquel le Tribunal fédéral a admis la licéité du renvoi du recourant. Il n'y a ainsi pas lieu d'admettre d'obstacle à l'exécution de ce renvoi, étant rappelé que le recourant dit vouloir déposer une demande de reconsidération s'agissant de la perte de son titre de séjour.</w:t>
      </w:r>
    </w:p>
    <w:p>
      <w:r>
        <w:t>b. S'agissant de l'impossibilité alléguée d'organiser un vol à destination de Port-au-Prince en raison de l'absence de liaison aérienne directe et de tout accord de réadmission, elle tombe à faux dès lors qu'un vol avec escorte a effectivement pu être organisé le 19 septembre 2019, en passant par la France et les territoires français d'outre-mer, si bien que le grief doit être écarté.</w:t>
      </w:r>
    </w:p>
    <w:p>
      <w:r>
        <w:t>c. Enfin, la question de l'état de santé du recourant, qui relève non pas de l'impossibilité de l'exécution du renvoi mais de son exigibilité, ne permet pas de retenir que ledit renvoi serait en l'état inexigible. La situation médicale du recourant, à qui des broches et des vis doivent être enlevés sans qu'aucune date opératoire n'ait pour le moment été fixée, ne correspond pas à la définition jurisprudentielle relative à l'art. 3 CEDH. La nécessité médicale d'enlever à relativement brève échéance ledit matériel opératoire n'est en outre pas détaillée dans le certificat qu'il produit.</w:t>
      </w:r>
    </w:p>
    <w:p>
      <w:r>
        <w:t>Le grief sera écarté, ce qui conduit au rejet du recours.</w:t>
      </w:r>
    </w:p>
    <w:p>
      <w:r>
        <w:t>- 13/14 - A/2889/2019 9)</w:t>
      </w:r>
    </w:p>
    <w:p>
      <w:r>
        <w:t>La procédure étant gratuite (art. 12 du règlement sur les frais, émoluments et indemnités en procédure administrative du 30 juillet 1986 - RFPA - E 5 10.03), aucun émolument de procédure ne sera perçu (art. 87 al. 1 LPA).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