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ATA/131/2019 vom 12. Februar 2019</w:t>
      </w:r>
    </w:p>
    <w:p>
      <w:r>
        <w:t>GE Cour de justice, 2019-02-12, FR</w:t>
      </w:r>
    </w:p>
    <w:p>
      <w:r>
        <w:rPr>
          <w:b/>
        </w:rPr>
        <w:t xml:space="preserve">Quelle: </w:t>
      </w:r>
      <w:r>
        <w:t>https://mcp.opencaselaw.ch/entscheid/ge_gerichte_ATA_131_2019</w:t>
      </w:r>
    </w:p>
    <w:p>
      <w:r>
        <w:t>FR: GE_GERICHTE ATA/131/2019 du 12 février 2019</w:t>
      </w:r>
    </w:p>
    <w:p>
      <w:r>
        <w:t>IT: GE_GERICHTE ATA/131/2019 del 12 febbraio 2019</w:t>
      </w:r>
    </w:p>
    <w:p>
      <w:pPr>
        <w:pStyle w:val="Heading2"/>
      </w:pPr>
      <w:r>
        <w:t>Regeste</w:t>
      </w:r>
    </w:p>
    <w:p>
      <w:r>
        <w:t>Résumé: Contrairement à ce que prétend le recourant, il ne peut être retenu que l'union conjugale avec son ex-épouse a duré plus de trois ans. Il ne peut ainsi bénéficier d'un renouvellement de son autorisation de séjour à titre de regroupement familial. Pas de raisons personnelles majeures justifiant l'octroi d'une autorisation de séjour, ce qu'il ne prétend d'ailleurs pas. Rien n'empêche l'exécution du renvoi. Recours rejeté.</w:t>
      </w:r>
    </w:p>
    <w:p>
      <w:pPr>
        <w:pStyle w:val="Heading2"/>
      </w:pPr>
      <w:r>
        <w:t>Erwägungen</w:t>
      </w:r>
    </w:p>
    <w:p>
      <w:r>
        <w:rPr>
          <w:b/>
        </w:rPr>
        <w:t>E. 12</w:t>
      </w:r>
    </w:p>
    <w:p>
      <w:r>
        <w:t>septembre 1985 - LPA - E 5 10). 2)</w:t>
      </w:r>
    </w:p>
    <w:p>
      <w:r>
        <w:t>Le recourant reproche au TAPI d’avoir violé son droit d’être entendu en refusant sa comparution personnelle et l'audition de son ex-épouse.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w:t>
      </w:r>
    </w:p>
    <w:p>
      <w:r>
        <w:rPr>
          <w:b/>
        </w:rPr>
        <w:t>E. 16</w:t>
      </w:r>
    </w:p>
    <w:p>
      <w:r>
        <w:t>juin 2015 consid. 2.1).</w:t>
      </w:r>
    </w:p>
    <w:p>
      <w:r>
        <w:t>c.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ATA/262/2017 du 7 mars 2017 consid. 18c).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(ATA/747/2016 précité consid. 4e et les références citées).</w:t>
      </w:r>
    </w:p>
    <w:p>
      <w:r>
        <w:t>d. En l’espèce, la chambre administrative, qui dispose du même pouvoir de cognition que le TAPI (art. 61 al. 1 et 2 LPA), a tenu une audience de comparution personnelle des parties et d'enquêtes le 1er juin 2017 durant laquelle</w:t>
      </w:r>
    </w:p>
    <w:p>
      <w:r>
        <w:t>- 14/23 - A/3100/2016 elle a entendu le recourant et son ex-épouse, de sorte qu’une éventuelle violation du droit d’être entendu de par le refus de ce dernier de tenir une telle audience serait en tout état de cause réparée.</w:t>
      </w:r>
    </w:p>
    <w:p>
      <w:r>
        <w:t>Le grief de violation du droit d’être entendu sera par conséquent écarté. 3)</w:t>
      </w:r>
    </w:p>
    <w:p>
      <w:r>
        <w:t>Le litige porte sur le refus de l'OCPM de renouveler l'autorisation de séjour du recourant, confirmé par le TAPI. 4) a.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w:t>
      </w:r>
    </w:p>
    <w:p>
      <w:r>
        <w:t>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 1991, p. 434 n. 2105).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consid. 2).</w:t>
      </w:r>
    </w:p>
    <w:p>
      <w:r>
        <w:t>À plusieurs reprises, la chambre de céans a tenu compte, d'office ou sur requête, de faits qui s'étaient produits après que la décision de première instance eut été rendue (ATA/1366/2018 du 18 décembre 2018 consid. 3b ; ATA/1091/2018 du 16 octobre 2018 consid. 2b ; ATA/286/2017 du 14 mars 2017 consid. 3b). 5)</w:t>
      </w:r>
    </w:p>
    <w:p>
      <w:r>
        <w:t>Le 1er janvier 2019, est entrée en vigueur une modification de la LEtr, devenue la loi sur les étrangers et l’intégration (ci-après : LEI). En l’absence de dispositions, la règle générale selon laquelle s’appliquent aux faits dont les</w:t>
      </w:r>
    </w:p>
    <w:p>
      <w:r>
        <w:t>- 15/23 - A/3100/2016 conséquences juridiques sont en cause, les normes en vigueur au moment où lesdits faits se sont produits (ATA/847/2018 du 21 août 2018 consid. 3c et les références citées (ATA/1052/2017 du 4 juillet 2017 consid. 4), sous réserve, en matière de sanctions disciplinaires ou d’amendes administratives, que le nouveau droit soit plus favorable (ATA/847/2018 précité ; ATA/1052/2017 précité), prévaut.</w:t>
      </w:r>
    </w:p>
    <w:p>
      <w:r>
        <w:t>Les faits de la présente cause s’étant intégralement déroulés avant le 1er janvier 2019, ils sont soumis aux dispositions de la LEI dans sa teneur jusqu'au 31 décembre 2018, étant précisé que la plupart des dispositions de celle-ci sont demeurées identiques. 6)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la RDC.</w:t>
      </w:r>
    </w:p>
    <w:p>
      <w:r>
        <w:t>b. Le conjoint d’un ressortissant suisse ainsi que ses enfants célibataires de moins de dix-huit ans ont droit à l’octroi d’une autorisation de séjour et à la prolongation de sa durée de validité à condition de vivre en ménage commun avec lui (art. 42 al. 1 LEI). Cette disposition requiert non seulement le mariage des époux, mais aussi leur ménage commun (ATF 136 II 113 consid. 3.2).</w:t>
      </w:r>
    </w:p>
    <w:p>
      <w:r>
        <w:t>c. En l'espèce, il n'est pas contesté que le recourant, dont le divorce a été prononcé le 10 janvier 2014, ne peut plus se prévaloir de l’art. 42 LEI pour obtenir le renouvellement de son autorisation de séjour. 7) a.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w:t>
      </w:r>
    </w:p>
    <w:p>
      <w:r>
        <w:t>L'art. 50 LEI ne trouve application qu'en cas d'échec définitif de la communauté conjugale (ATF 140 II 345 consid. 4 ; 140 II 129 consid. 3.5).</w:t>
      </w:r>
    </w:p>
    <w:p>
      <w:r>
        <w:t>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w:t>
      </w:r>
    </w:p>
    <w:p>
      <w:r>
        <w:t>- 16/23 - A/3100/2016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w:t>
      </w:r>
    </w:p>
    <w:p>
      <w:r>
        <w:t>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Elle ne se confond pas non plus avec celle de la seule cohabitation mais implique une volonté matrimoniale commune de la part des époux. À cet égard, le Tribunal fédéral a jugé que la période durant laquelle les conjoints continuent provisoirement à cohabiter en attendant de pouvoir se constituer deux domiciles séparés ne peut pas être prise en compte dans le calcul des trois ans de l'art. 50 al. 1 let. a LEI, faute de vie conjugale effective (arrêt du Tribunal fédéral 2C_30/2016 du 1er juin 2016 consid. 3.1 et les références citées).</w:t>
      </w:r>
    </w:p>
    <w:p>
      <w:r>
        <w:t>C'est donc la date de la fin de la communauté conjugale qui est déterminante pour calculer si la relation a duré trois ans, et non le moment où le divorce est prononcé (Cesla AMARELLE et Nathalie CHRISTEN in Code annoté du droit de la migration, 2017, Vol II : LEI, ad. art. 50 p. 466 n. 10).</w:t>
      </w:r>
    </w:p>
    <w:p>
      <w:r>
        <w:t>Il n’est pas nécessaire d’examiner la condition de la réussite de l’intégration lorsque l’union conjugale a duré moins de trois ans, les deux conditions étant cumulatives (arrêt du Tribunal fédéral 2C_352/2014 du 18 mars 2015 consid. 4 ; ATA/203/2018 du 6 mars 2018 consid. 4a).</w:t>
      </w:r>
    </w:p>
    <w:p>
      <w:r>
        <w:t>b. L'exigence du ménage commun prévue aux art. 42 à 44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de l'ordonnance relative à l'admission, au séjour et à l'exercice d'une activité lucrative du 24 octobre 2007 - OASA - RS 142.201).</w:t>
      </w:r>
    </w:p>
    <w:p>
      <w:r>
        <w:t>c. Sous réserve d'un éventuel abus de droit, plusieurs périodes de vie commune en Suisse, même de courte durée et / ou qui sont interrompues par des temps de séparation prolongée, même non justifiée au regard de l'art. 49 LEI, peuvent être additionnées en vue de satisfaire à la condition de la durée minimum de l'union conjugale, à condition que les époux soient véritablement et sérieusement déterminés à poursuivre leur communauté conjugale (ATF 140 II 345 consid. 4.5.2 ; arrêt du Tribunal fédéral 2C_88/2017 du 30 janvier 2017 consid. 6.2).</w:t>
      </w:r>
    </w:p>
    <w:p>
      <w:r>
        <w:t>- 17/23 - A/3100/2016 8) a.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et les arrêts cités). À cet égard, en police des étrangers, l’art. 90 LEI met un devoir spécifique de collaborer à la constatation des faits déterminants à la charge de l’étranger ou des tiers participants (arrêt du Tribunal fédéral 2C_777/2015 du 26 mai 2016 consid. 3.3).</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(ATA/1155/2018 du 30 octobre 2018 consid. 3b et les références citées).</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ATA/991/2016 précité). Le juge forme ainsi librement sa conviction en analysant la force probante des preuves administrées et ce n’est ni le genre, ni le nombre des preuves qui est déterminant, mais leur force de persuasion (ATA/1155/2018 précité consid. 3b). 9)</w:t>
      </w:r>
    </w:p>
    <w:p>
      <w:r>
        <w:t>En l'espèce, le recourant et son ex-épouse se sont mariés à Genève le 7 octobre 2010. Comme susmentionné, le dies a quo du délai légal de trois ans commence dès la cohabitation effective en Suisse après le mariage, de sorte que la période de vie commune avant le mariage ne peut être prise en compte.</w:t>
      </w:r>
    </w:p>
    <w:p>
      <w:r>
        <w:t>L'autorité intimée considère que l'union conjugale a pris fin plus d'une semaine avant le dépôt de la requête commune en divorce, soit avant l'échéance du délai de trois ans, ce que conteste le recourant. Or, comme le relève à juste titre l'autorité intimée, avant de faire signer la requête commune de divorce au recourant le 16 septembre 2013, soit avant la fin du délai de trois ans, son ex-épouse avait procédé à différentes démarches (discussion avec une amie, premier rendez-vous à Caritas, retrait des formulaires idoines auprès du TPI, nouveau rendez-vous auprès de Caritas), de sorte qu'il n'y avait plus de volonté réciproque de vivre en union conjugale même avant cette date. Par ailleurs, la version de l'intéressé, selon laquelle la volonté du couple de former une union</w:t>
      </w:r>
    </w:p>
    <w:p>
      <w:r>
        <w:t>- 18/23 - A/3100/2016 conjugale était demeurée intacte jusqu'au mois de janvier 2014, et ce malgré le dépôt d'une requête commune en divorce, est clairement contredite par les éléments du dossier. Il sera en particulier relevé qu'après le dépôt, le 14 octobre 2013, de ladite requête, ils ont également déposé, le 11 décembre 2013, la convention sur les effets du divorce qu'ils avaient signé la veille, ce qui démontre sans contestation possible leur volonté de poursuivre la procédure entamée.</w:t>
      </w:r>
    </w:p>
    <w:p>
      <w:r>
        <w:t>Le recourant allègue que s'il devait être retenu que l'union conjugale avait été interrompue pendant quelques semaines à cause des disputes, le couple s'était tout de même accordé une seconde chance durant la période pendant laquelle son ex-épouse avait hésité à retirer sa requête en divorce, de sorte que le cumul des périodes permettait de considérer que l'union conjugale avait duré plus de trois ans. Toutefois, bien que l'ex-épouse du recourant ait indiqué qu'elle avait hésité à retirer la requête commune en divorce et qu'ils avaient continué à entretenir des relations intimes jusqu'au divorce, les éléments au dossier, et en particulier la signature d'une convention de divorce le 10 décembre 2013, démontrent au contraire une réelle volonté de mettre fin à l'union conjugale, ce d'autant plus que le divorce a été prononcé à peine trois mois après le dépôt de la requête y relative. Au demeurant, le recourant, lequel supporte le fardeau de la preuve, ne désigne pas avec précision quelles périodes devraient être cumulées pour arriver à la conclusion que l'union conjugale aurait duré plus de trois ans.</w:t>
      </w:r>
    </w:p>
    <w:p>
      <w:r>
        <w:t>À toutes fins utiles, il sera relevé que les déclarations du recourant et de son ex-épouse sont à prendre en compte avec retenue dès lors qu'elles ont été, volontairement ou non, empruntes d'imprécisions, d'inexactitudes et de contradictions au fil de la procédure. L'intéressé a tout d'abord indiqué, dans son recours au TAPI, être arrivé en Suisse et avoir débuté le ménage commun avec son ex-épouse le 7 octobre 2010, avant de prétendre, dans le cadre de son recours devant la chambre de céans, avoir emménagé avec celle-ci le 27 juin 2010. Lors de l'instruction du dossier par l'autorité intimée, le recourant a plusieurs fois prétendu, notamment par courriers des 12 août 2015 et 16 mars 2016, avoir quitté le domicile conjugal le 2 avril 2015. Son ex-épouse a également confirmé cette date dans une attestation datée du 12 mars 2016, jointe au courrier précité du recourant du 16 mars 2016. Or, Mme B______ avait pourtant indiqué dans son courrier à l'intimé du 9 janvier 2015 que depuis le divorce  prononcé le 10 janvier 2014  elle n’avait plus de nouvelles de son ex-mari, dont elle ignorait par ailleurs l’adresse. Le recourant a également modifié sa version des faits devant le TAPI, indiquant dans son recours avoir quitté l'appartement conjugal au mois de mars 2014, explications renouvelées depuis lors. La valeur probante de certaines des attestations produites par le recourant est également douteuse. Deux voisins domiciliés dans l'immeuble abritant le domicile conjugal ont ainsi affirmé avoir entretenu de bons rapports de voisinage avec le recourant entre 2010 et 2015, alors même que ce dernier a finalement admis avoir quitté ledit domicile en mars 2014.</w:t>
      </w:r>
    </w:p>
    <w:p>
      <w:r>
        <w:t>- 19/23 - A/3100/2016</w:t>
      </w:r>
    </w:p>
    <w:p>
      <w:r>
        <w:t>Compte tenu de ce qui précède, il ne peut être reproché à l'autorité intimée, suivie par le TAPI, d'avoir considéré que l’union conjugale, au sens de l’art. 50 al. 1 let. a LEI et de la jurisprudence précitée, a duré moins de trois ans.</w:t>
      </w:r>
    </w:p>
    <w:p>
      <w:r>
        <w:t>Dès lors que la première condition n’est pas remplie, la chambre administrative ne procédera pas à l’examen de l’intégration en Suisse du recourant. 10) a. Outre les hypothèses retenues à l’art. 50 al. 1 let. a LEI, le droit au renouvellement de l'autorisation de séjour existe également si la poursuite du séjour en Suisse s'impose pour des raisons personnelles majeures (art. 50 al. 1 let. b LEI).</w:t>
      </w:r>
    </w:p>
    <w:p>
      <w:r>
        <w:t>b.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 137 II 345 consid. 3.2.1 à 3.2.3 ; ATA/775/2018 du 24 juillet 2018 consid. 4b).</w:t>
      </w:r>
    </w:p>
    <w:p>
      <w:r>
        <w:t>c.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 précité consid. 4c).</w:t>
      </w:r>
    </w:p>
    <w:p>
      <w:r>
        <w:t>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w:t>
      </w:r>
    </w:p>
    <w:p>
      <w:r>
        <w:t>- 20/23 - A/3100/2016</w:t>
      </w:r>
    </w:p>
    <w:p>
      <w:r>
        <w:t>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LEI (ATA/775/2018 précité consid. 4d et les références citées). 11) En l'espèce, le recourant ne prétend pas dans son recours, pas plus que dans ses précédentes écritures devant l'autorité intimée ou le TAPI, que des raisons personnelles majeures imposeraient le renouvellement de son autorisation de séjour. Nonobstant, le TAPI a examiné cette question et a conclu, à juste titre, que le recourant ne remplissait pas les conditions permettant le renouvellement de son autorisation de séjour sur la base de l'art. 50 al. 1 let. b et al. 2 LEI.</w:t>
      </w:r>
    </w:p>
    <w:p>
      <w:r>
        <w:t>Le recourant est âgé de cinquante ans et a vécu en RDC jusqu'à son arrivée en Suisse en octobre 2010 à l'âge de quarante-deux ans. S'il est effectivement en Suisse depuis huit ans, la durée de son séjour doit être relativisée, notamment au regard des longues années passées dans son pays d'origine. Par ailleurs, depuis le 6 octobre 2015, son autorisation de séjour n'a pas été renouvelée et son séjour est actuellement simplement toléré en raison de l'effet suspensif attaché aux procédures de recours.</w:t>
      </w:r>
    </w:p>
    <w:p>
      <w:r>
        <w:t>À teneur de l'attestation la plus récente figurant au dossier, il apparaît que le recourant n'a pas de dettes. De même, il a démontré une volonté de prendre part à la vie économique en Suisse en occupant différents emplois et en entreprenant une formation d'ASA. Bien que méritoire, son intégration professionnelle ne peut toutefois être qualifié d'exceptionnelle. Ces éléments doivent par ailleurs être mis en balance avec le fait qu'il a eu recours à l'aide sociale et a fait l'objet de plusieurs condamnations pénales pour des infractions à la législation sur la circulation. Il n'apparaît par ailleurs pas avoir d'attaches particulières en Suisse, telles que de la famille. Enfin, aucun élément du dossier ne démontre que sa réintégration sociale et professionnelle en RDC serait fortement compromise. Le recourant y a en effet vécu toute son enfance, son adolescence et une bonne partie de sa vie d'adulte. Il y</w:t>
      </w:r>
    </w:p>
    <w:p>
      <w:r>
        <w:t>- 21/23 - A/3100/2016 a par ailleurs occupé différents emplois dans des domaines variés, notamment en qualité d’agent de sécurité, de responsable d’accueil dans un hôtel, de responsable d’un domaine agricole portant son nom et d’exploitant de bois et de diamants. Il n'est par ailleurs pas déraisonnable de considérer qu'il pourrait retrouver en RDC le même type d'emploi que celui qu'il occupait encore récemment en qualité d'aide-soignant. 12)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n’existe pas, hormis les difficultés inhérentes à tout retour au pays d'origine après des années d’absence, de circonstance empêchant l'exécution du renvoi de l’intéressé en RDC. Si le recourant a certes indiqué dans sa dernière écriture du 3 septembre 2018 qu'il souffrait encore de douleurs au poignet, il a également indiqué avoir entrepris de nombreuses démarches afin de retrouver un emploi dès la fin de sa convalescence. Il ne prétend d'ailleurs pas dans son recours que ces douleurs, ou tout autre élément, empêcherait l'exécution de son renvoi. 13) Au vu de ce qui précède, le recours sera rejeté. 14.</w:t>
      </w:r>
    </w:p>
    <w:p>
      <w:r>
        <w:t>Vu l’issue du litige, un émolument de CHF 550.-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