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ATA/131/2017 vom 8. Februar 2017</w:t>
      </w:r>
    </w:p>
    <w:p>
      <w:r>
        <w:t>GE Cour de justice, 2017-02-08, FR</w:t>
      </w:r>
    </w:p>
    <w:p>
      <w:r>
        <w:rPr>
          <w:b/>
        </w:rPr>
        <w:t xml:space="preserve">Quelle: </w:t>
      </w:r>
      <w:r>
        <w:t>https://mcp.opencaselaw.ch/entscheid/ge_gerichte_ATA_131_2017</w:t>
      </w:r>
    </w:p>
    <w:p>
      <w:r>
        <w:t>FR: GE_GERICHTE ATA/131/2017 du 8 février 2017</w:t>
      </w:r>
    </w:p>
    <w:p>
      <w:r>
        <w:t>IT: GE_GERICHTE ATA/131/2017 del 8 febbraio 2017</w:t>
      </w:r>
    </w:p>
    <w:p>
      <w:pPr>
        <w:pStyle w:val="Heading2"/>
      </w:pPr>
      <w:r>
        <w:t>Erwägungen</w:t>
      </w:r>
    </w:p>
    <w:p>
      <w:r>
        <w:rPr>
          <w:b/>
        </w:rPr>
        <w:t>E. 1</w:t>
      </w:r>
    </w:p>
    <w:p>
      <w:r>
        <w:t>Madame A______ a obtenu le brevet d’enseignement genevois en 1977.</w:t>
      </w:r>
    </w:p>
    <w:p>
      <w:r>
        <w:t>Par courrier du 18 juillet 1974, le directeur de l’enseignement primaire lui a confirmé son admission aux études pédagogiques. Par arrêté de confirmation du</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A/4507/2016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A/4507/2016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A/4507/2016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A/4507/2016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A/4507/2016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