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ATA/131/2014 vom 4. März 2014</w:t>
      </w:r>
    </w:p>
    <w:p>
      <w:r>
        <w:t>GE Cour de justice, 2014-03-04, FR</w:t>
      </w:r>
    </w:p>
    <w:p>
      <w:r>
        <w:rPr>
          <w:b/>
        </w:rPr>
        <w:t xml:space="preserve">Quelle: </w:t>
      </w:r>
      <w:r>
        <w:t>https://mcp.opencaselaw.ch/entscheid/ge_gerichte_ATA_131_2014</w:t>
      </w:r>
    </w:p>
    <w:p>
      <w:r>
        <w:t>FR: GE_GERICHTE ATA/131/2014 du 4 mars 2014</w:t>
      </w:r>
    </w:p>
    <w:p>
      <w:r>
        <w:t>IT: GE_GERICHTE ATA/131/2014 del 4 marzo 2014</w:t>
      </w:r>
    </w:p>
    <w:p>
      <w:pPr>
        <w:pStyle w:val="Heading2"/>
      </w:pPr>
      <w:r>
        <w:t>Regeste</w:t>
      </w:r>
    </w:p>
    <w:p>
      <w:r>
        <w:t>Résumé: Examen de la responsabilité d'un médecin répondant d'une clinique de médecine esthétique suite à la plainte d'une personne ayant subi un dommage lors d'un traitement épilatoire dispensé par une esthéticienne à l'aide d'un appareil à lumière pulsée. Rien ne permet d'établir un manquement aux devoirs incombant au médecin répondant, en lien avec des soins esthétiques, prodigués par une esthéticienne qui n'était pas une professionnelle de la santé au sens de la LS à l'aide d'un appareil qui, à l'époque des faits litigieux, n'était pas considéré par la loi comme un dispositif dont l'emploi nécessitait une assistance médicale avant et après le traitement.</w:t>
      </w:r>
    </w:p>
    <w:p>
      <w:pPr>
        <w:pStyle w:val="Heading2"/>
      </w:pPr>
      <w:r>
        <w:t>Erwägungen</w:t>
      </w:r>
    </w:p>
    <w:p>
      <w:r>
        <w:rPr>
          <w:b/>
        </w:rPr>
        <w:t>E. 12</w:t>
      </w:r>
    </w:p>
    <w:p>
      <w:r>
        <w:t>septembre 1985 - LPA - E 5 10 ; art. 22 al. 1 de la LComPS). 2)</w:t>
      </w:r>
    </w:p>
    <w:p>
      <w:r>
        <w:t>Le recours peut être formé pour violation du droit y compris l’excès et l’abus du pouvoir d’appréciation, et pour constatation inexacte ou incomplète des faits pertinents (art. 61 al. 1 LPA).</w:t>
      </w:r>
    </w:p>
    <w:p>
      <w:r>
        <w:t>- 15/21 - A/392/2013 3)</w:t>
      </w:r>
    </w:p>
    <w:p>
      <w:r>
        <w:t>Le litige porte sur la sanction disciplinaire prononcée à l’égard du recourant et sur la constatation de la violation des droits des patients de Mme Y______. 4) a. Dans le cadre de son mandat, la commission exerce d’office ou sur requête l’instruction, en vue d’un préavis ou d’une décision, les cas de violation des dispositions de la LS concernant les professionnels de la santé et les institutions de santé, ainsi que les cas de violation des droits des patients (art. 7 al. 1 let. a LComPS).</w:t>
      </w:r>
    </w:p>
    <w:p>
      <w:r>
        <w:t>b. La poursuite disciplinaire se prescrit dans le délai absolu de dix ans courant dès la commission des faits incriminés (art. 46 al. 3 de la loi fédérale sur les professions médicales universitaires du 23 juin 2006 - LPMéd - RS 811.11) alors que le délai de prescription (relative) est de deux ans (art. 46 al. 1 LPMéd). Ces deux délais sont respectés en l’espèce, les faits litigieux datant du 8 décembre 2007, la plainte ayant été déposée le 15 septembre 2008 et le délai interrompu par les divers actes d’instruction. 5)</w:t>
      </w:r>
    </w:p>
    <w:p>
      <w:r>
        <w:t>Le recourant relève que la plainte ne le visait pas et qu’il ne pouvait s’attendre au prononcé d’une sanction disciplinaire à son encontre. De ce fait, il n’avait pas pu exercer ses droits de partie.</w:t>
      </w:r>
    </w:p>
    <w:p>
      <w:r>
        <w:t>Tous les courriers adressés par la commission au recourant, portaient la mention « médecin répondant, B______ SA, rue de A______, 1201 Genève » et « plainte de Mme Y______ c/ Z______, clinique de médecine esthétique ». La convocation à l’audience de comparution de la commission mentionnait que le recourant était entendu en « qualité de partie ».</w:t>
      </w:r>
    </w:p>
    <w:p>
      <w:r>
        <w:t>La chambre de céans a déjà jugé que la mention de la « qualité de partie » utilisée par la commission n’était pas suffisamment explicite, surtout pour un non-juriste et pouvait conduire, dans certaines circonstances à une violation du droit d’être entendu (ATA/624/2012 du 18 septembre 2012). Les circonstances du cas d’espèce permettaient cependant au recourant de déduire de cette mention, ainsi que du contenu des courriers de la commission, que son audition avait pour but de déterminer si son comportement, en sa qualité de médecin répondant, constituait une violation des dispositions de la LS pouvant entraîner, à son encontre, le prononcé d’une sanction administrative au sens des art. 127 ss LS.</w:t>
      </w:r>
    </w:p>
    <w:p>
      <w:r>
        <w:t>Le grief sera donc écarté. 6)</w:t>
      </w:r>
    </w:p>
    <w:p>
      <w:r>
        <w:t>La décision litigieuse retient que la responsabilité du recourant en tant que médecin responsable ou répondant de la clinique Z______ est engagée.</w:t>
      </w:r>
    </w:p>
    <w:p>
      <w:r>
        <w:t>Le recourant conteste sa responsabilité. Le traitement litigieux ne constitue pas un acte médical puisque réalisé par une esthéticienne à l’aide d’un appareil n’étant pas un dispositif médical et qu’en outre, le traitement ne nécessitait pas de surveillance médicale, contrairement à ce qu’avait retenu la commission.</w:t>
      </w:r>
    </w:p>
    <w:p>
      <w:r>
        <w:t>- 16/21 - A/392/2013</w:t>
      </w:r>
    </w:p>
    <w:p>
      <w:r>
        <w:t>a. La loi en vigueur lorsque la société a reçu l’autorisation d’exploiter la clinique prévoyait que l’autorisation était subordonnée notamment à ce que la direction médicale soit assurée par un médecin inscrit, appelé « médecin répondant » (art. 82 al. 1 let. a de la loi sur l’exercice des professions de la santé, les établissements médicaux et diverses entreprises du domaine médical du 11 mai 2001 – LPS – K 3 05 abrogée le 7 avril 2006). Depuis l’entrée en vigueur de la LS, le 7 avril 2006, les autorisations délivrées sur la base de l’ancien droit restent valables (art. 138 al. 2 LS). L’autorisation d’exploiter est délivrée si l’établissement est dirigé, sur le plan médical, par un médecin responsable inscrit au registre de sa profession (art. 18 al. 1 let. a du règlement sur les institutions de la santé du 22 août 2006 - RISanté - K 2 05.06). Le médecin responsable doit s’assurer que les personnes exerçant dans l’établissement l’une des professions visées à l’art. 1 du RPS soient inscrites dans le registre de leur profession et que les locaux et installations soient conformes aux règles en vigueur (art. 19 al. 1 let. b et c RISanté).</w:t>
      </w:r>
    </w:p>
    <w:p>
      <w:r>
        <w:t>Selon le texte clair de ces dispositions, le médecin répondant est donc responsable sur le plan médical et pour le personnel exerçant une profession de la santé, au sein de l’établissement.</w:t>
      </w:r>
    </w:p>
    <w:p>
      <w:r>
        <w:t>b. Il faut encore relever que le législateur genevois n’a pas prévu de cantonner l’exercice de la médecine dite esthétique dans des locaux uniquement dévolus à cet effet et donc d’interdire l’exercice dans les locaux d’un établissement de santé, d’autres activités, tels des soins cosmétiques ou esthétiques prodigués par des personnes n’étant pas des professionnels de la santé et ne travaillant pas sur délégation de médecins, au sein de la même institution. La réglementation applicable n’exige pas, en matière d’institution de santé du type de la clinique Z______ des locaux clairement séparés, comme elle le fait pour les institutions de la santé que sont les pharmacies (art. 60 al. 1 RISanté) ou les drogueries (art. 87 al. 1 RISanté). Ainsi, la législation genevoise ne prévoit pas, comme le fait par exemple la législation valaisanne, que les locaux utilisés par les médecins apparaissent clairement affectés à l’exploitation d’un cabinet médical afin de permettre aux patients de distinguer objectivement les actes médicaux, des actes non médicaux (Arrêt du Tribunal fédéral 2P.246/2004 du 6 janvier 2005 dans lequel un médecin s’est vu retirer l’autorisation de pratiquer la médecine dans un cabinet d’esthétique pour ce motif).</w:t>
      </w:r>
    </w:p>
    <w:p>
      <w:r>
        <w:t>Dans l’établissement concerné, les activités médicales cohabitent avec les activités esthétiques non médicales, comme le font les professionnels de la santé et ceux non soumis à la LS. 7)</w:t>
      </w:r>
    </w:p>
    <w:p>
      <w:r>
        <w:t>Il convient de déterminer la qualification technique de l’appareil utilisé lors du traitement litigieux, celle-ci étant contestée par le recourant. La commission a retenu que le traitement aurait dû se dérouler sous la surveillance d’un médecin.</w:t>
      </w:r>
    </w:p>
    <w:p>
      <w:r>
        <w:t>- 17/21 - A/392/2013</w:t>
      </w:r>
    </w:p>
    <w:p>
      <w:r>
        <w:t>a. Selon le descriptif fourni par le recourant et Swissmedic, il s’agit d’un appareil à lumière pulsée comportant une pièce à main pour l’utilisation à lumière pulsée. Cet appareil peut aussi être utilisé avec deux pièces à main laser. Le fabricant précise que la pièce à main pour lumière pulsée permet l’épilation en un flash, de zones allant de 4,6 cm2 jusqu’à 8,3 cm2 alors qu’en utilisant les pièces à main laser, la zone traitée (spot) varie entre 2,5 et 4 mm. Les lasers sont indiqués pour la chirurgie dermatologique et pour l’épilation de petites surfaces comme le menton, moustache, joue, etc. (http://www.dekalaser.com/en- GB/product.aspx?item=photosilk&amp;tab=2).</w:t>
      </w:r>
    </w:p>
    <w:p>
      <w:r>
        <w:t>Rien dans le dossier ne permet de retenir que l’appareil aurait été utilisé avec les pièces à main laser et non avec la pièce à main pour lumière pulsée, indiquée pour l’épilation des jambes en raison de la taille de la surface à traiter. Le devis signé par la plaignante, les attestations des formations suivies par les intervenantes, l’attestation du fabricant, les déclarations faites à la commission par le recourant et la directrice de l’institut, portent sur un appareil à lumière pulsée et non pas sur un laser.</w:t>
      </w:r>
    </w:p>
    <w:p>
      <w:r>
        <w:t>La commission a donc retenu à tort que le traitement épilatoire avait été dispensé avec un appareil laser et non une lampe à lumière pulsée.</w:t>
      </w:r>
    </w:p>
    <w:p>
      <w:r>
        <w:t>b. Les faits litigieux se sont déroulés en décembre 2007. La teneur de l’ODim à cette date ne correspond pas à celle visée dans la décision. Les sources de lumière pulsée et non cohérente de forte puissance, comme les lampes flash de forte puissance, ne figurent à l’annexe 6 de l’ODim que depuis le 1er avril 2010. Dans sa teneur au moment des faits, l’ODim ne concernait que les lasers de forte puissance. Ces derniers ne pouvaient être utilisés que par des médecins et des professionnels disposant d’une formation conforme aux dispositions de l’annexe et opérant sous le contrôle et la responsabilité d’un médecin. En outre, les patients traités avec des lasers de forte puissance devaient bénéficier d’une assistance médicale avant et après le traitement (art. 2 let. c annexe 6 aODim).</w:t>
      </w:r>
    </w:p>
    <w:p>
      <w:r>
        <w:t>La modification de l’ODim du 1er avril 2010 fait suite, notamment, à la généralisation de l’utilisation des lampes flash de forte puissance (IPLS), apparues après les lasers sur le marché et aux mises en garde et recommandations de la société suisse de dermatologie et vénérologie (ci-après : SSDV) telles que publiées dans son bulletin n° 47, du 21 novembre 2005. La technologie laser et la technologie IPLS étaient différentes et les risques de l’une et de l’autre l’étaient également. En complément de la prise de position datant de 1997 sur l’usage du laser, la SSDV indiquait que la marge thérapeutique des systèmes IPLS était plus étroite que celle des lasers et donc les effets secondaires comme les brûlures plus probables. Le grand avantage du système IPLS était, outre son faible coût d’acquisition, le large spectre d’émission, notamment dans le domaine infrarouge, qui était bienvenu sur le plan thérapeutique en cas de resurfaçage non traumatique de la peau, de photo-rejuvénation et d’épilation. La SSDV exigeait que des</w:t>
      </w:r>
    </w:p>
    <w:p>
      <w:r>
        <w:t>- 18/21 - A/392/2013 mesures analogues à celles concernant les lasers soient prises pour les systèmes IPLS.</w:t>
      </w:r>
    </w:p>
    <w:p>
      <w:r>
        <w:t>En conséquence, à l’époque des faits reprochés au recourant, les appareils IPLS, tel celui utilisé lors du traitement litigieux, n’étaient pas soumis aux mêmes contraintes d’utilisation et de surveillance médicale que les appareils laser. Notamment, rien n’exigeait qu’ils soient utilisés sous le contrôle et la responsabilité d’un médecin comme l’a retenu à tort la commission dans sa décision. 8)</w:t>
      </w:r>
    </w:p>
    <w:p>
      <w:r>
        <w:t>Le traitement litigieux a été dispensé par une esthéticienne à l’aide d’un appareil à lumière pulsée.</w:t>
      </w:r>
    </w:p>
    <w:p>
      <w:r>
        <w:t>a. Le RPS définit les professions de la santé soumises à la LS (art. 1 RPS et art. 71 LS). Les esthéticiennes ne figurent pas dans cette liste.</w:t>
      </w:r>
    </w:p>
    <w:p>
      <w:r>
        <w:t>b. Les activités de type esthétique utilisant des appareils particuliers et pouvant présenter un danger pour la santé, telles que l’épilation électrique et le bronzage par rayonnement ultraviolet constituent des actes pouvant mettre en danger la santé, au sens de l’art. 124 LS (art. 2 al. 2 du règlement sur les activités pouvant mettre en danger la santé du 27 juin 2007 - RAMDS - K 3 10.03). Le contrôle de ces activités est assuré par la DGS (art. 1 RAMDS) et non pas par la commission.</w:t>
      </w:r>
    </w:p>
    <w:p>
      <w:r>
        <w:t>Il découle de ce qui précède, que le traitement dispensé à la plaignante doit être qualifié d’acte ne relevant pas de l’exercice d’une des professions de la santé et non d’un acte médical, comme retenu par la commission dans sa décision. 9)</w:t>
      </w:r>
    </w:p>
    <w:p>
      <w:r>
        <w:t>S’agissant ici de l’examen de la responsabilité du médecin répondant d’une institution de santé, il convient de retenir que le traitement litigieux a été dispensé par une esthéticienne, non professionnelle de la santé, à l’aide d’un appareil dont l’utilisation n’exigeait pas de surveillance médicale. Même si le traitement esthétique prodigué à la plaignante lui a causé un dommage et a nécessité un traitement médical ultérieur, cela ne permet pas de modifier la qualification du soin esthétique en acte médical qui aurait nécessité une exécution ou une surveillance par un médecin.</w:t>
      </w:r>
    </w:p>
    <w:p>
      <w:r>
        <w:t>Il est en outre établi que la plaignante n’a pas été examinée par un médecin de la clinique, dont le recourant serait responsable, avant que le soin esthétique ne lui soit prodigué, ni que l’esthéticienne ait travaillé sur délégation d’un des médecins exerçant dans la clinique. Après l’épilation ayant provoqué des brûlures, une ordonnance pour un traitement a été délivré à la plaignante par un médecin de la clinique. L’adéquation de cette prise en charge médicale subséquente n’est pas remise en cause par la commission puisqu’il est établi que la plaignante n’a pas exécuté le traitement prescrit.</w:t>
      </w:r>
    </w:p>
    <w:p>
      <w:r>
        <w:t>- 19/21 - A/392/2013</w:t>
      </w:r>
    </w:p>
    <w:p>
      <w:r>
        <w:t>En conséquence, en l’espèce, rien ne permet de fonder la responsabilité du recourant en qualité de médecin responsable sur le plan médical ; pour le personnel médical, le soin esthétique a été dispensé hors de toute consultation médicale d’une institution de santé dont l’exploitation a été dûment autorisée par le Conseil d’Etat, sans autres conditions concernant les soins esthétiques dispensés par des personnes non professionnelles de la santé. En particulier, rien ne permet d’établir un manquement aux devoirs qui incombaient au recourant en lien avec des soins esthétiques ou cosmétiques, prodigués par une esthéticienne au sein de l’institution de santé dont il était répondant sur le plan médical. Le recourant n’a de ce fait pas commis de faute professionnelle. Le recours sera admis sur ce point et la sanction infligée au recourant annulée. 10) La commission a également retenu une violation des droits des patients au sens de l’art. 45 LS, la plaignante n’ayant pas reçu les informations appropriées afin de donner son consentement libre et éclairé au traitement.</w:t>
      </w:r>
    </w:p>
    <w:p>
      <w:r>
        <w:t>a. En vertu de l'art. 45 al. 1 LS, le patient a le droit d'être informé de manière claire et appropriée sur : son état de santé (let. a) ; les traitements et interventions possibles, leurs bienfaits et leurs risques éventuels (let. b) ; les moyens de prévention des maladies et de conservation de la santé (let. c).</w:t>
      </w:r>
    </w:p>
    <w:p>
      <w:r>
        <w:t>b. Le substantif « patient » - du latin patior, soit souffrir, supporter, endurer - signifie « personne qui subit ou va subir une opération chirurgicale ; personne qui est l'objet d'un traitement, d'un examen médical » (Le petit Robert, 2000, p. 1806). Une interprétation littérale du texte légal indique dès lors que le patient visé à l'art. 45 LS est une personne entretenant une relation thérapeutique avec un professionnel de la santé (ATA/265/2009 du 26 mai 2009).</w:t>
      </w:r>
    </w:p>
    <w:p>
      <w:r>
        <w:t>En l’espèce, en l’absence de traitement ou d’intervention relevant de l’exercice des professions de la santé, s’agissant de l’épilation par lampe pulsée effectuée en 2007 par une esthéticienne, les droits du patient tirés de l’art. 45 LS ne trouvent pas application. La décision sera annulée sur ce point également. 11) Au vu de ce qui précède, le recours sera admis.</w:t>
      </w:r>
    </w:p>
    <w:p>
      <w:r>
        <w:t>Il n’est pas perçu d’émolument (art. 87 al. 1 LPA). Une indemnité de CHF 1'000.- sera allouée au recourant qui obtient gain de cause (art. 87 al. 2 LPA),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