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ATA/130/2010 vom 5. Mai 2009</w:t>
      </w:r>
    </w:p>
    <w:p>
      <w:r>
        <w:t>GE Cour de justice, 2009-05-05, FR</w:t>
      </w:r>
    </w:p>
    <w:p>
      <w:r>
        <w:rPr>
          <w:b/>
        </w:rPr>
        <w:t xml:space="preserve">Quelle: </w:t>
      </w:r>
      <w:r>
        <w:t>https://mcp.opencaselaw.ch/entscheid/ge_gerichte_ATA_130_2010</w:t>
      </w:r>
    </w:p>
    <w:p>
      <w:r>
        <w:t>FR: GE_GERICHTE ATA/130/2010 du 5 mai 2009</w:t>
      </w:r>
    </w:p>
    <w:p>
      <w:r>
        <w:t>IT: GE_GERICHTE ATA/130/2010 del 5 maggio 2009</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a. Le conducteur doit se comporter dans la circulation de manière à ne pas gêner, ni mettre en danger, ceux qui utilisent la route conformément aux règles établies (art. 26 al. 1 LCR). Avant les passages pour piétons, le conducteur circulera avec une prudence particulière et, au besoin, s'arrêtera pour laisser la priorité à tout piéton qui est déjà engagé sur le passage ou qui attend devant celui- ci avec l'intention visible de l'emprunter. Il réduira sa vitesse et s'arrêtera, au besoin, afin de pouvoir satisfaire à cette obligation (art. 33 al. 2 LCR et 6 al. 1 de l'ordonnance sur les règles de la circulation routière du 13 novembre 1962 - OCR - RS 741.11).</w:t>
      </w:r>
    </w:p>
    <w:p>
      <w:r>
        <w:t>b. Quant aux piétons eux-mêmes, en application de l'art. 49 al. 2 LCR, ils bénéficient de la priorité sur les passages de sécurité, mais ne doivent pas s'y lancer à l'improviste.</w:t>
      </w:r>
    </w:p>
    <w:p>
      <w:r>
        <w:rPr>
          <w:b/>
        </w:rPr>
        <w:t>E. 3</w:t>
      </w:r>
    </w:p>
    <w:p>
      <w:r>
        <w:t>a. Le permis de conduire peut être retiré à celui qui, par des infractions aux règles de la circulation, a compromis la sécurité de la route. Les art. 16a à 16c définissent les modalités selon lesquelles ce retrait est ordonné, distinguant selon que l'infraction est légère (art. 16a al. 1 LCR), moyennement grave (art. 16b al. 1 LCR) ou grave (art. 16c al. 1 LCR).</w:t>
      </w:r>
    </w:p>
    <w:p>
      <w:r>
        <w:t>- 5/8 - A/988/2009</w:t>
      </w:r>
    </w:p>
    <w:p>
      <w:r>
        <w:t>b. Constitue une infraction grave, celle qui entre dans les catégories énoncées à l'art. 16c al. 1 LCR. Commet en particulier une telle infraction celui qui, en violant gravement les règles de la circulation, crée un sérieux danger pour la sécurité d'autrui ou en prend le risque.</w:t>
      </w:r>
    </w:p>
    <w:p>
      <w:r>
        <w:t>c. Constitue une infraction moyennement grave, celle qui entre dans les catégories énoncées à l'art. 16b al. 1 LCR. Commet en particulier une telle infraction celui qui, en violant les règles de la circulation, crée un danger pour la sécurité d'autrui ou en prend le risque.</w:t>
      </w:r>
    </w:p>
    <w:p>
      <w:r>
        <w:rPr>
          <w:b/>
        </w:rPr>
        <w:t>E. 4</w:t>
      </w:r>
    </w:p>
    <w:p>
      <w:r>
        <w:t>a. La qualification du cas grave au sens de l’art. 16c al. 1 let. a LCR correspond à celle de l’art. 90 ch. 2 LCR (ATF 132 II 234 consid. 3 p. 327 ; Arrêt du Tribunal fédéral 6B.264/2007 du 19 septembre 2007, consid. 3.1). L’infraction réprimée par l’art. 90 ch. 2 LCR est objectivement réalisée lorsque l’auteur viole grossièrement une règle fondamentale de la circulation et met ainsi sérieusement en danger la sécurité d’autrui ; une mise en danger abstraite accrue est toutefois suffisante. Subjectivement, l’infraction suppose un comportement sans scrupule ou gravement contraire aux règles de la circulation; cette condition est toujours réalisée si l’auteur est conscient du danger que représente sa manière de conduire, mais peut l’être aussi s’il ne tient absolument pas compte du fait qu’il met autrui en danger ; dans cette dernière hypothèse, l’existence d’une négligence grossière ne doit toutefois être admise qu’avec retenue (ATF 131 IV 4 p. 133 consid. 3.2 et arrêt cité ; Arrêt du Tribunal fédéral 6B.264/2007 précité, consid. 3.1).</w:t>
      </w:r>
    </w:p>
    <w:p>
      <w:r>
        <w:t>b. En ce qui concerne l’infraction moyennement grave, elle est conçue, dans la structure des art. 16a à 16c LCR comme l’élément dit de regroupement. Cette disposition n’est ainsi pas applicable aux infractions qui tombent sous le coup des art. 16a al. 1 ou 16c al. 1 let. a LCR. Dès lors, l’infraction est toujours considérée comme moyennement grave, lorsque tous les éléments constitutifs qui permettent de la privilégier comme légère ou au contraire de la qualifier de grave ne sont pas réunis. Par exemple, tel est le cas lorsque la faute est grave et la mise en danger bénigne ou inversement, si la faute est légère et la mise en danger grave (Arrêt du Tribunal fédéral du 6A.16/2006 du 6 avril 2006 et la doctrine citée).</w:t>
      </w:r>
    </w:p>
    <w:p>
      <w:r>
        <w:rPr>
          <w:b/>
        </w:rPr>
        <w:t>E. 5</w:t>
      </w:r>
    </w:p>
    <w:p>
      <w:r>
        <w:t>Le devoir de prudence particulière imposé aux automobilistes à l'approche d'un passage pour piétons est un élément essentiel de la sécurité offerte par ces passages (ATA P. du 5 juillet 1997 ; F. du 16 mars 1993 ; K. du 30 mars 1993). La violation de ce devoir, de même que le refus de priorité, quand bien même celui-ci ne serait dû qu'à une inattention et non pas à une prise de risques inconsidérée, peuvent donc en principe être considérés comme une compromission grave de la sécurité de la route au sens de l'art. 16 al. 3 LCR (ATA/582/2004 du 6 juillet 2004 et réf. cit.). La teneur de l'art. 6 OCR renforce encore le devoir de tout automobiliste de céder la priorité aux usagers de la route qui se déplacent à pied.</w:t>
      </w:r>
    </w:p>
    <w:p>
      <w:r>
        <w:t>- 6/8 - A/988/2009</w:t>
      </w:r>
    </w:p>
    <w:p>
      <w:r>
        <w:rPr>
          <w:b/>
        </w:rPr>
        <w:t>E. 6</w:t>
      </w:r>
    </w:p>
    <w:p>
      <w:r>
        <w:t>En l'espèce, la recourante ne conteste pas avoir heurté le piéton qui traversait la chaussée sur un passage piétons, violant ainsi les dispositions légales précitées.</w:t>
      </w:r>
    </w:p>
    <w:p>
      <w:r>
        <w:t>Reste à déterminer si cette faute doit être qualifiée de grave ou de moyennement grave.</w:t>
      </w:r>
    </w:p>
    <w:p>
      <w:r>
        <w:t>Il ressort des faits de la cause que le piéton heurté était déjà engagé sur le passage de sécurité au moment de l'accident, de telle sorte qu'on ne saurait lui reprocher de s'y être lancé à l'improviste. La recourante ne circulait manifestement pas à une vitesse excessive. Toutefois, elle n'a pas été en mesure de voir la victime engagée sur le passage de sécurité pour s'arrêter normalement afin de lui accorder la priorité. Dans les conditions de circulation difficiles que cette dernière a décrites, densité du trafic, faible luminosité au moment de l'accident et visibilité réduite sur sa gauche en raison de la présence du véhicule 4 x 4 noir, la recourante devait être plus attentive à l'approche du passage protégé pour pouvoir réagir en temps utile et éviter un accident. Par ailleurs, un piéton vêtu de sombre traversant sur un passage protégé, en milieu urbain, à une heure de pointe, n'est pas un événement inhabituel et imprévisible. En continuant à avancer à l'approche du passage de sécurité dans les circonstances décrites ci-dessus et sans s'être assurée qu'aucun piéton n'était masqué par le véhicule 4 x 4 circulant sur sa gauche, la recourante a violé son devoir particulier de prudence qui lui incombe en application de l'art. 33 LCR. Le fait que la recourante ait concentré son attention sur le véhicule qui tentait de la dépasser par la droite n'enlève rien à sa faute. Il n'est en effet pas admissible qu'un conducteur se concentre sur un seul élément, au risque de commettre un accident. Au contraire, son inattention est d'autant plus grave que la recourante ne regardait alors plus devant elle à l'approche du passage protégé (ATA/582/2009 du 10 novembre 2009, et la jurisprudences citée).</w:t>
      </w:r>
    </w:p>
    <w:p>
      <w:r>
        <w:t>Au vu de l'ensemble des circonstances, la faute de Mme C______ doit être considérée comme grave.</w:t>
      </w:r>
    </w:p>
    <w:p>
      <w:r>
        <w:rPr>
          <w:b/>
        </w:rPr>
        <w:t>E. 7</w:t>
      </w:r>
    </w:p>
    <w:p>
      <w:r>
        <w:t>a. Après une infraction grave, le permis de conduire est retiré pour une durée minimale de trois mois (art. 16c al. 2 let. a LCR).</w:t>
      </w:r>
    </w:p>
    <w:p>
      <w:r>
        <w:t>b. Selon l'art. 16 al. 3 LCR, la durée du retrait de permis doit être fixée selon les circonstances, notamment en fonction de l'atteinte à la sécurité routière, la gravité de la faute, les antécédents en tant que conducteur ainsi que la nécessité professionnelle de conduire un véhicule automobile. Toutefois, la durée minimale du retrait doit être respectée (al. 2). Le Tribunal fédéral a encore rappelé récemment qu’une telle règle s’imposait aux tribunaux sans dérogation possible, même pour tenir compte de besoins professionnels particuliers du conducteur (Arrêt du Tribunal fédéral 1C.585/2008 du 14 mai 2009, consid. 2.1 in fine et jurisprudence citée).</w:t>
      </w:r>
    </w:p>
    <w:p>
      <w:r>
        <w:t>- 7/8 - A/988/2009</w:t>
      </w:r>
    </w:p>
    <w:p>
      <w:r>
        <w:rPr>
          <w:b/>
        </w:rPr>
        <w:t>E. 8</w:t>
      </w:r>
    </w:p>
    <w:p>
      <w:r>
        <w:t>A cet égard, le Tribunal administratif relève que, dans le cadre de la marge d'appréciation qui lui est conférée, l'OCAN a prononcé une mesure correspondant au minimum légal prévu par la loi pour faute grave.</w:t>
      </w:r>
    </w:p>
    <w:p>
      <w:r>
        <w:rPr>
          <w:b/>
        </w:rPr>
        <w:t>E. 9</w:t>
      </w:r>
    </w:p>
    <w:p>
      <w:r>
        <w:t>Le recours sera donc rejeté. Un émolument de procédure de CHF 400.- sera mis à la charge de la recourante, qui succombe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